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19" w:rsidRPr="00E10419" w:rsidRDefault="00E10419" w:rsidP="00E1041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  <w:lang w:val="uk-UA"/>
        </w:rPr>
      </w:pPr>
      <w:r w:rsidRPr="00E10419">
        <w:fldChar w:fldCharType="begin"/>
      </w:r>
      <w:r w:rsidRPr="00E10419">
        <w:rPr>
          <w:lang w:val="uk-UA"/>
        </w:rPr>
        <w:instrText xml:space="preserve"> </w:instrText>
      </w:r>
      <w:r w:rsidRPr="00E10419">
        <w:instrText>HYPERLINK</w:instrText>
      </w:r>
      <w:r w:rsidRPr="00E10419">
        <w:rPr>
          <w:lang w:val="uk-UA"/>
        </w:rPr>
        <w:instrText xml:space="preserve"> "</w:instrText>
      </w:r>
      <w:r w:rsidRPr="00E10419">
        <w:instrText>https</w:instrText>
      </w:r>
      <w:r w:rsidRPr="00E10419">
        <w:rPr>
          <w:lang w:val="uk-UA"/>
        </w:rPr>
        <w:instrText>://</w:instrText>
      </w:r>
      <w:r w:rsidRPr="00E10419">
        <w:instrText>doi</w:instrText>
      </w:r>
      <w:r w:rsidRPr="00E10419">
        <w:rPr>
          <w:lang w:val="uk-UA"/>
        </w:rPr>
        <w:instrText>.</w:instrText>
      </w:r>
      <w:r w:rsidRPr="00E10419">
        <w:instrText>org</w:instrText>
      </w:r>
      <w:r w:rsidRPr="00E10419">
        <w:rPr>
          <w:lang w:val="uk-UA"/>
        </w:rPr>
        <w:instrText>/10.1007/</w:instrText>
      </w:r>
      <w:r w:rsidRPr="00E10419">
        <w:instrText>BF</w:instrText>
      </w:r>
      <w:r w:rsidRPr="00E10419">
        <w:rPr>
          <w:lang w:val="uk-UA"/>
        </w:rPr>
        <w:instrText xml:space="preserve">01081907" </w:instrText>
      </w:r>
      <w:r w:rsidRPr="00E10419">
        <w:fldChar w:fldCharType="separate"/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</w:rPr>
        <w:t>https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  <w:lang w:val="uk-UA"/>
        </w:rPr>
        <w:t>://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</w:rPr>
        <w:t>doi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  <w:lang w:val="uk-UA"/>
        </w:rPr>
        <w:t>.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</w:rPr>
        <w:t>org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  <w:lang w:val="uk-UA"/>
        </w:rPr>
        <w:t>/10.1007/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</w:rPr>
        <w:t>BF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  <w:lang w:val="uk-UA"/>
        </w:rPr>
        <w:t>01081907</w:t>
      </w:r>
      <w:r w:rsidRPr="00E1041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CFCFC"/>
          <w:lang w:val="uk-UA"/>
        </w:rPr>
        <w:fldChar w:fldCharType="end"/>
      </w:r>
    </w:p>
    <w:p w:rsidR="00A862D1" w:rsidRDefault="002A48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862D1" w:rsidRPr="00A862D1">
          <w:rPr>
            <w:rStyle w:val="a3"/>
            <w:rFonts w:ascii="Times New Roman" w:hAnsi="Times New Roman" w:cs="Times New Roman"/>
            <w:sz w:val="28"/>
            <w:szCs w:val="28"/>
          </w:rPr>
          <w:t>https://link.springer.com/article/10.1007/BF01081907</w:t>
        </w:r>
      </w:hyperlink>
    </w:p>
    <w:p w:rsidR="002E3878" w:rsidRPr="002E3878" w:rsidRDefault="002E3878" w:rsidP="00A862D1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6F6F6F"/>
          <w:sz w:val="27"/>
          <w:szCs w:val="27"/>
          <w:lang w:eastAsia="ru-RU"/>
        </w:rPr>
      </w:pPr>
    </w:p>
    <w:p w:rsidR="00A862D1" w:rsidRPr="00A862D1" w:rsidRDefault="002A48E5" w:rsidP="00A862D1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6F6F6F"/>
          <w:sz w:val="27"/>
          <w:szCs w:val="27"/>
          <w:lang w:eastAsia="ru-RU"/>
        </w:rPr>
      </w:pPr>
      <w:hyperlink r:id="rId6" w:anchor="article-info" w:history="1">
        <w:proofErr w:type="spellStart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Published</w:t>
        </w:r>
        <w:proofErr w:type="spellEnd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: </w:t>
        </w:r>
        <w:proofErr w:type="spellStart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September</w:t>
        </w:r>
        <w:proofErr w:type="spellEnd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1995</w:t>
        </w:r>
      </w:hyperlink>
    </w:p>
    <w:p w:rsidR="00A862D1" w:rsidRPr="00A862D1" w:rsidRDefault="00A862D1" w:rsidP="00A862D1">
      <w:pPr>
        <w:shd w:val="clear" w:color="auto" w:fill="FCFCFC"/>
        <w:spacing w:after="0" w:line="240" w:lineRule="auto"/>
        <w:outlineLvl w:val="0"/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</w:pPr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 xml:space="preserve">Effects of </w:t>
      </w:r>
      <w:proofErr w:type="spellStart"/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thiazole</w:t>
      </w:r>
      <w:proofErr w:type="spellEnd"/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 xml:space="preserve"> analogs of vitamin B</w:t>
      </w:r>
      <w:r w:rsidRPr="00A862D1">
        <w:rPr>
          <w:rFonts w:ascii="Georgia" w:eastAsia="Times New Roman" w:hAnsi="Georgia" w:cs="Segoe UI"/>
          <w:color w:val="333333"/>
          <w:kern w:val="36"/>
          <w:sz w:val="34"/>
          <w:szCs w:val="34"/>
          <w:vertAlign w:val="subscript"/>
          <w:lang w:val="en-US" w:eastAsia="ru-RU"/>
        </w:rPr>
        <w:t>1</w:t>
      </w:r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 xml:space="preserve"> on neuromuscular transmission and </w:t>
      </w:r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eastAsia="ru-RU"/>
        </w:rPr>
        <w:t>α</w:t>
      </w:r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-</w:t>
      </w:r>
      <w:proofErr w:type="spellStart"/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latrotoxin</w:t>
      </w:r>
      <w:proofErr w:type="spellEnd"/>
      <w:r w:rsidRPr="00A862D1">
        <w:rPr>
          <w:rFonts w:ascii="Georgia" w:eastAsia="Times New Roman" w:hAnsi="Georgia" w:cs="Segoe UI"/>
          <w:color w:val="333333"/>
          <w:kern w:val="36"/>
          <w:sz w:val="48"/>
          <w:szCs w:val="48"/>
          <w:lang w:val="en-US" w:eastAsia="ru-RU"/>
        </w:rPr>
        <w:t>-induced transmitter release in skeletal muscles</w:t>
      </w:r>
    </w:p>
    <w:p w:rsidR="00A862D1" w:rsidRPr="00A862D1" w:rsidRDefault="002A48E5" w:rsidP="00383784">
      <w:pPr>
        <w:numPr>
          <w:ilvl w:val="0"/>
          <w:numId w:val="2"/>
        </w:numPr>
        <w:shd w:val="clear" w:color="auto" w:fill="FCFCFC"/>
        <w:spacing w:after="0" w:line="240" w:lineRule="auto"/>
        <w:ind w:left="0" w:right="12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hyperlink r:id="rId7" w:anchor="auth-A__V_-Romanenko-Aff1" w:history="1"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A. V. Romanenko</w:t>
        </w:r>
      </w:hyperlink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, </w:t>
      </w:r>
      <w:hyperlink r:id="rId8" w:anchor="auth-A__I_-Vovk-Aff1" w:history="1"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>A. I. Vovk</w:t>
        </w:r>
      </w:hyperlink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&amp; </w:t>
      </w:r>
      <w:hyperlink r:id="rId9" w:anchor="auth-O__Ya_-Shaturskii-Aff2" w:history="1">
        <w:r w:rsidR="00A862D1" w:rsidRPr="00E10419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val="fr-FR" w:eastAsia="ru-RU"/>
          </w:rPr>
          <w:t xml:space="preserve">O. Ya. </w:t>
        </w:r>
        <w:proofErr w:type="spellStart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Shaturskii</w:t>
        </w:r>
        <w:proofErr w:type="spellEnd"/>
      </w:hyperlink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</w:p>
    <w:p w:rsidR="00A862D1" w:rsidRPr="00E10419" w:rsidRDefault="002A48E5" w:rsidP="002A48E5">
      <w:pPr>
        <w:shd w:val="clear" w:color="auto" w:fill="FCFCFC"/>
        <w:spacing w:after="0" w:line="240" w:lineRule="auto"/>
        <w:rPr>
          <w:rFonts w:ascii="Georgia" w:eastAsia="Times New Roman" w:hAnsi="Georgia" w:cs="Segoe UI"/>
          <w:color w:val="333333"/>
          <w:sz w:val="36"/>
          <w:szCs w:val="36"/>
          <w:lang w:val="fr-FR" w:eastAsia="ru-RU"/>
        </w:rPr>
      </w:pPr>
      <w:hyperlink r:id="rId10" w:history="1">
        <w:r w:rsidR="00A862D1" w:rsidRPr="00A862D1">
          <w:rPr>
            <w:rFonts w:ascii="Segoe UI" w:eastAsia="Times New Roman" w:hAnsi="Segoe UI" w:cs="Segoe UI"/>
            <w:i/>
            <w:iCs/>
            <w:color w:val="004B83"/>
            <w:sz w:val="27"/>
            <w:szCs w:val="27"/>
            <w:u w:val="single"/>
            <w:lang w:val="fr-FR" w:eastAsia="ru-RU"/>
          </w:rPr>
          <w:t>Neurophysiology</w:t>
        </w:r>
      </w:hyperlink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 </w:t>
      </w:r>
      <w:r w:rsidR="00A862D1"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bdr w:val="none" w:sz="0" w:space="0" w:color="auto" w:frame="1"/>
          <w:lang w:val="fr-FR" w:eastAsia="ru-RU"/>
        </w:rPr>
        <w:t>volume</w:t>
      </w:r>
      <w:r w:rsidR="00A862D1"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fr-FR" w:eastAsia="ru-RU"/>
        </w:rPr>
        <w:t> 27</w:t>
      </w:r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, </w:t>
      </w:r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fr-FR" w:eastAsia="ru-RU"/>
        </w:rPr>
        <w:t>pages</w:t>
      </w:r>
      <w:r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  <w:lang w:val="fr-FR" w:eastAsia="ru-RU"/>
        </w:rPr>
        <w:t xml:space="preserve"> </w:t>
      </w:r>
      <w:r w:rsidR="00A862D1"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291–296 (1995)</w:t>
      </w:r>
      <w:r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 xml:space="preserve"> </w:t>
      </w:r>
    </w:p>
    <w:p w:rsidR="002A48E5" w:rsidRDefault="002A48E5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eastAsia="ru-RU"/>
        </w:rPr>
      </w:pPr>
    </w:p>
    <w:p w:rsidR="00A862D1" w:rsidRPr="00A862D1" w:rsidRDefault="00A862D1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eastAsia="ru-RU"/>
        </w:rPr>
      </w:pPr>
      <w:proofErr w:type="spellStart"/>
      <w:r w:rsidRPr="00A862D1">
        <w:rPr>
          <w:rFonts w:ascii="Georgia" w:eastAsia="Times New Roman" w:hAnsi="Georgia" w:cs="Segoe UI"/>
          <w:color w:val="333333"/>
          <w:sz w:val="36"/>
          <w:szCs w:val="36"/>
          <w:lang w:eastAsia="ru-RU"/>
        </w:rPr>
        <w:t>Abstract</w:t>
      </w:r>
      <w:proofErr w:type="spellEnd"/>
    </w:p>
    <w:p w:rsidR="00A862D1" w:rsidRPr="00A862D1" w:rsidRDefault="00A862D1" w:rsidP="00002995">
      <w:pPr>
        <w:shd w:val="clear" w:color="auto" w:fill="FCFCFC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proofErr w:type="spellStart"/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Thiazole</w:t>
      </w:r>
      <w:proofErr w:type="spellEnd"/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analogs of vitamin B</w:t>
      </w:r>
      <w:r w:rsidRPr="002E3878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val="en-US" w:eastAsia="ru-RU"/>
        </w:rPr>
        <w:t>1</w:t>
      </w:r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3-decyloxycarbonylmethyl-4-methyl-5-(2-</w:t>
      </w:r>
      <w:proofErr w:type="gramStart"/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hydroxyethyl)</w:t>
      </w:r>
      <w:proofErr w:type="spellStart"/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thiazole</w:t>
      </w:r>
      <w:proofErr w:type="spellEnd"/>
      <w:proofErr w:type="gramEnd"/>
      <w:r w:rsidRPr="002E387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chloride (DMHT) and 3-decyloxycarbonylmethyl-4-methylthiazole chloride (DMT) suppress quantum transmitter release from nerve terminals in the frog skeletal muscle. 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Intraperitoneal administration of these compounds to mice suppresses behavioral motor activity, diminishes motor coordination, and suppresses the </w:t>
      </w:r>
      <w:proofErr w:type="spellStart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corazol</w:t>
      </w:r>
      <w:proofErr w:type="spellEnd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-induced seizures. Application of DMHT reduces the 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α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-</w:t>
      </w:r>
      <w:proofErr w:type="spellStart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latrotoxin</w:t>
      </w:r>
      <w:proofErr w:type="spellEnd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-induced massive transmitter release from nerve terminals in the frog skeletal muscle and suppresses </w:t>
      </w:r>
      <w:proofErr w:type="spellStart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latrotoxin</w:t>
      </w:r>
      <w:proofErr w:type="spellEnd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-induced seizures in mice. In model experiments, DMHT blocks Ca</w:t>
      </w:r>
      <w:r w:rsidRPr="00A862D1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en-US" w:eastAsia="ru-RU"/>
        </w:rPr>
        <w:t>2+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 entry through the ion channels formed by 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α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-</w:t>
      </w:r>
      <w:proofErr w:type="spellStart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latrotoxin</w:t>
      </w:r>
      <w:proofErr w:type="spellEnd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in a bilayer lipid membrane. It has been suggested that the effectiveness of DMHT and DMT is determined by the presence of a </w:t>
      </w:r>
      <w:proofErr w:type="spellStart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thiazole</w:t>
      </w:r>
      <w:proofErr w:type="spellEnd"/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cycle in their molecules that, among all endogenous biologically active compounds, is possessed only by vitamin B</w:t>
      </w:r>
      <w:r w:rsidRPr="00A862D1">
        <w:rPr>
          <w:rFonts w:ascii="Times New Roman" w:eastAsia="Times New Roman" w:hAnsi="Times New Roman" w:cs="Times New Roman"/>
          <w:color w:val="333333"/>
          <w:sz w:val="20"/>
          <w:szCs w:val="20"/>
          <w:vertAlign w:val="subscript"/>
          <w:lang w:val="en-US" w:eastAsia="ru-RU"/>
        </w:rPr>
        <w:t>1</w:t>
      </w:r>
      <w:r w:rsidRPr="00A862D1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and its metabolites.</w:t>
      </w:r>
    </w:p>
    <w:p w:rsidR="002A48E5" w:rsidRDefault="002A48E5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A862D1" w:rsidRPr="00A862D1" w:rsidRDefault="00A862D1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A862D1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t>Author information</w:t>
      </w:r>
    </w:p>
    <w:p w:rsidR="00A862D1" w:rsidRPr="002A48E5" w:rsidRDefault="00A862D1" w:rsidP="00A862D1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2A48E5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Authors and Affiliations</w:t>
      </w:r>
    </w:p>
    <w:p w:rsidR="00A862D1" w:rsidRPr="00A862D1" w:rsidRDefault="00A862D1" w:rsidP="00A862D1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>Bogomolets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 xml:space="preserve"> National Medical University, Kiev, Ukraine</w:t>
      </w:r>
    </w:p>
    <w:p w:rsidR="00A862D1" w:rsidRPr="00A862D1" w:rsidRDefault="00A862D1" w:rsidP="00A862D1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</w:pPr>
      <w:r w:rsidRPr="00A862D1">
        <w:rPr>
          <w:rFonts w:ascii="Segoe UI" w:eastAsia="Times New Roman" w:hAnsi="Segoe UI" w:cs="Segoe UI"/>
          <w:color w:val="333333"/>
          <w:sz w:val="27"/>
          <w:szCs w:val="27"/>
          <w:lang w:val="fr-FR" w:eastAsia="ru-RU"/>
        </w:rPr>
        <w:t>A. V. Romanenko &amp; A. I. Vovk</w:t>
      </w:r>
    </w:p>
    <w:p w:rsidR="00A862D1" w:rsidRPr="00A862D1" w:rsidRDefault="00A862D1" w:rsidP="00A862D1">
      <w:pPr>
        <w:numPr>
          <w:ilvl w:val="0"/>
          <w:numId w:val="5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</w:pPr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val="en-US" w:eastAsia="ru-RU"/>
        </w:rPr>
        <w:t>Institute of Bioorganic Chemistry and Petroleum Chemistry, National Academy of Sciences of Ukraine, Kiev, Ukraine</w:t>
      </w:r>
    </w:p>
    <w:p w:rsidR="00A862D1" w:rsidRPr="00A862D1" w:rsidRDefault="00A862D1" w:rsidP="00A862D1">
      <w:pPr>
        <w:shd w:val="clear" w:color="auto" w:fill="FCFCFC"/>
        <w:spacing w:line="240" w:lineRule="auto"/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</w:pPr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O.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Ya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.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Shaturskii</w:t>
      </w:r>
      <w:proofErr w:type="spellEnd"/>
    </w:p>
    <w:p w:rsidR="002A48E5" w:rsidRDefault="002A48E5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2A48E5" w:rsidRDefault="002A48E5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2A48E5" w:rsidRDefault="002A48E5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</w:p>
    <w:p w:rsidR="00A862D1" w:rsidRPr="00A862D1" w:rsidRDefault="00A862D1" w:rsidP="00A862D1">
      <w:pPr>
        <w:pBdr>
          <w:bottom w:val="single" w:sz="12" w:space="6" w:color="D5D5D5"/>
        </w:pBdr>
        <w:shd w:val="clear" w:color="auto" w:fill="FCFCFC"/>
        <w:spacing w:after="0" w:line="240" w:lineRule="auto"/>
        <w:outlineLvl w:val="1"/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</w:pPr>
      <w:r w:rsidRPr="00A862D1">
        <w:rPr>
          <w:rFonts w:ascii="Georgia" w:eastAsia="Times New Roman" w:hAnsi="Georgia" w:cs="Segoe UI"/>
          <w:color w:val="333333"/>
          <w:sz w:val="36"/>
          <w:szCs w:val="36"/>
          <w:lang w:val="en-US" w:eastAsia="ru-RU"/>
        </w:rPr>
        <w:lastRenderedPageBreak/>
        <w:t>About this article</w:t>
      </w:r>
    </w:p>
    <w:p w:rsidR="00A862D1" w:rsidRPr="00A862D1" w:rsidRDefault="00A862D1" w:rsidP="00A862D1">
      <w:pPr>
        <w:shd w:val="clear" w:color="auto" w:fill="FCFCFC"/>
        <w:spacing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</w:pPr>
      <w:r w:rsidRPr="00A862D1">
        <w:rPr>
          <w:rFonts w:ascii="Segoe UI" w:eastAsia="Times New Roman" w:hAnsi="Segoe UI" w:cs="Segoe UI"/>
          <w:color w:val="222222"/>
          <w:sz w:val="27"/>
          <w:szCs w:val="27"/>
          <w:lang w:val="en-US" w:eastAsia="ru-RU"/>
        </w:rPr>
        <w:t>Cite this article</w:t>
      </w:r>
    </w:p>
    <w:p w:rsidR="00A862D1" w:rsidRPr="00A862D1" w:rsidRDefault="00A862D1" w:rsidP="00A862D1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Romanenko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A.V.,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Vovk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A.I. &amp;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Shaturskii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, O.Y. Effects of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thiazole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analogs of vitamin B</w:t>
      </w:r>
      <w:r w:rsidRPr="00A862D1">
        <w:rPr>
          <w:rFonts w:ascii="Segoe UI" w:eastAsia="Times New Roman" w:hAnsi="Segoe UI" w:cs="Segoe UI"/>
          <w:color w:val="333333"/>
          <w:sz w:val="18"/>
          <w:szCs w:val="18"/>
          <w:vertAlign w:val="subscript"/>
          <w:lang w:val="en-US" w:eastAsia="ru-RU"/>
        </w:rPr>
        <w:t>1</w:t>
      </w:r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 on neuromuscular transmission and </w:t>
      </w:r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α</w:t>
      </w:r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-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latrotoxin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>-induced transmitter release in skeletal muscles. </w:t>
      </w:r>
      <w:proofErr w:type="spellStart"/>
      <w:r w:rsidRPr="00A862D1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Neurophysiology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27</w:t>
      </w:r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291–296 (1995). https://doi.org/10.1007/BF01081907</w:t>
      </w:r>
    </w:p>
    <w:p w:rsidR="00A862D1" w:rsidRPr="00A862D1" w:rsidRDefault="002A48E5" w:rsidP="00A862D1">
      <w:pPr>
        <w:shd w:val="clear" w:color="auto" w:fill="FCFCFC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hyperlink r:id="rId11" w:history="1">
        <w:proofErr w:type="spellStart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Download</w:t>
        </w:r>
        <w:proofErr w:type="spellEnd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A862D1" w:rsidRPr="00A862D1">
          <w:rPr>
            <w:rFonts w:ascii="Segoe UI" w:eastAsia="Times New Roman" w:hAnsi="Segoe UI" w:cs="Segoe UI"/>
            <w:color w:val="004B83"/>
            <w:sz w:val="27"/>
            <w:szCs w:val="27"/>
            <w:u w:val="single"/>
            <w:lang w:eastAsia="ru-RU"/>
          </w:rPr>
          <w:t>citation</w:t>
        </w:r>
        <w:proofErr w:type="spellEnd"/>
      </w:hyperlink>
    </w:p>
    <w:p w:rsidR="00A862D1" w:rsidRPr="00A862D1" w:rsidRDefault="00A862D1" w:rsidP="00A862D1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Received</w:t>
      </w:r>
      <w:proofErr w:type="spellEnd"/>
      <w:r w:rsidR="002A48E5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</w:t>
      </w:r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15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January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1996</w:t>
      </w:r>
    </w:p>
    <w:p w:rsidR="00A862D1" w:rsidRPr="00A862D1" w:rsidRDefault="00A862D1" w:rsidP="00A862D1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Issue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Date</w:t>
      </w:r>
      <w:proofErr w:type="spellEnd"/>
      <w:r w:rsidR="002A48E5">
        <w:rPr>
          <w:rFonts w:ascii="Segoe UI" w:eastAsia="Times New Roman" w:hAnsi="Segoe UI" w:cs="Segoe UI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September</w:t>
      </w:r>
      <w:proofErr w:type="spellEnd"/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1995</w:t>
      </w:r>
    </w:p>
    <w:p w:rsidR="002A48E5" w:rsidRDefault="002A48E5" w:rsidP="00A862D1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A862D1" w:rsidRPr="00A862D1" w:rsidRDefault="00A862D1" w:rsidP="00A862D1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862D1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DOIhttps://doi.org/10.1007/BF01081907</w:t>
      </w:r>
    </w:p>
    <w:p w:rsidR="00A862D1" w:rsidRPr="00A862D1" w:rsidRDefault="00A862D1" w:rsidP="00A862D1">
      <w:pPr>
        <w:shd w:val="clear" w:color="auto" w:fill="FCFCFC"/>
        <w:spacing w:before="360" w:after="120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Keywords</w:t>
      </w:r>
      <w:proofErr w:type="spellEnd"/>
    </w:p>
    <w:p w:rsidR="00A862D1" w:rsidRPr="00A862D1" w:rsidRDefault="00A862D1" w:rsidP="00A862D1">
      <w:pPr>
        <w:numPr>
          <w:ilvl w:val="0"/>
          <w:numId w:val="7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Skeletal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Muscle</w:t>
      </w:r>
      <w:proofErr w:type="spellEnd"/>
    </w:p>
    <w:p w:rsidR="00A862D1" w:rsidRPr="00A862D1" w:rsidRDefault="00A862D1" w:rsidP="00A862D1">
      <w:pPr>
        <w:numPr>
          <w:ilvl w:val="0"/>
          <w:numId w:val="7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Motor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Activity</w:t>
      </w:r>
      <w:proofErr w:type="spellEnd"/>
    </w:p>
    <w:p w:rsidR="00A862D1" w:rsidRPr="00A862D1" w:rsidRDefault="00A862D1" w:rsidP="00A862D1">
      <w:pPr>
        <w:numPr>
          <w:ilvl w:val="0"/>
          <w:numId w:val="7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Lipid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Membrane</w:t>
      </w:r>
      <w:proofErr w:type="spellEnd"/>
    </w:p>
    <w:p w:rsidR="00A862D1" w:rsidRPr="00A862D1" w:rsidRDefault="00A862D1" w:rsidP="00A862D1">
      <w:pPr>
        <w:numPr>
          <w:ilvl w:val="0"/>
          <w:numId w:val="7"/>
        </w:numPr>
        <w:shd w:val="clear" w:color="auto" w:fill="E1E1E1"/>
        <w:spacing w:after="0"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Bilayer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Lipid</w:t>
      </w:r>
      <w:proofErr w:type="spellEnd"/>
    </w:p>
    <w:p w:rsidR="00A862D1" w:rsidRPr="00A862D1" w:rsidRDefault="00A862D1" w:rsidP="00A862D1">
      <w:pPr>
        <w:numPr>
          <w:ilvl w:val="0"/>
          <w:numId w:val="7"/>
        </w:numPr>
        <w:shd w:val="clear" w:color="auto" w:fill="E1E1E1"/>
        <w:spacing w:line="240" w:lineRule="auto"/>
        <w:ind w:left="0" w:right="225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Nerve</w:t>
      </w:r>
      <w:proofErr w:type="spellEnd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A862D1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Terminal</w:t>
      </w:r>
      <w:proofErr w:type="spellEnd"/>
    </w:p>
    <w:p w:rsidR="00A862D1" w:rsidRDefault="00A862D1" w:rsidP="00A862D1">
      <w:pPr>
        <w:shd w:val="clear" w:color="auto" w:fill="FCFCFC"/>
        <w:spacing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A862D1" w:rsidRDefault="00A862D1" w:rsidP="00A862D1">
      <w:pPr>
        <w:shd w:val="clear" w:color="auto" w:fill="FCFCFC"/>
        <w:spacing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A862D1" w:rsidRDefault="002E3878">
      <w:r>
        <w:rPr>
          <w:noProof/>
          <w:lang w:eastAsia="ru-RU"/>
        </w:rPr>
        <w:drawing>
          <wp:inline distT="0" distB="0" distL="0" distR="0" wp14:anchorId="747DB58B" wp14:editId="15AA87B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78" w:rsidRDefault="002E3878"/>
    <w:sectPr w:rsidR="002E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758"/>
    <w:multiLevelType w:val="multilevel"/>
    <w:tmpl w:val="D0D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97CE8"/>
    <w:multiLevelType w:val="multilevel"/>
    <w:tmpl w:val="383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A5447"/>
    <w:multiLevelType w:val="multilevel"/>
    <w:tmpl w:val="D64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DEE"/>
    <w:multiLevelType w:val="multilevel"/>
    <w:tmpl w:val="382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E6A8F"/>
    <w:multiLevelType w:val="multilevel"/>
    <w:tmpl w:val="A08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31B8D"/>
    <w:multiLevelType w:val="multilevel"/>
    <w:tmpl w:val="54C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B29F8"/>
    <w:multiLevelType w:val="multilevel"/>
    <w:tmpl w:val="723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47502"/>
    <w:multiLevelType w:val="multilevel"/>
    <w:tmpl w:val="253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610E5"/>
    <w:multiLevelType w:val="multilevel"/>
    <w:tmpl w:val="99E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A7736"/>
    <w:multiLevelType w:val="multilevel"/>
    <w:tmpl w:val="65D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03DE6"/>
    <w:multiLevelType w:val="multilevel"/>
    <w:tmpl w:val="AB48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6"/>
    <w:rsid w:val="00002995"/>
    <w:rsid w:val="002A48E5"/>
    <w:rsid w:val="002E3878"/>
    <w:rsid w:val="002F32C6"/>
    <w:rsid w:val="00867FCB"/>
    <w:rsid w:val="00A862D1"/>
    <w:rsid w:val="00E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3AB47"/>
  <w15:chartTrackingRefBased/>
  <w15:docId w15:val="{2ED4AD4E-0E06-44B7-B036-A6E32DFF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5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07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2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93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8416">
                  <w:marLeft w:val="0"/>
                  <w:marRight w:val="0"/>
                  <w:marTop w:val="360"/>
                  <w:marBottom w:val="360"/>
                  <w:divBdr>
                    <w:top w:val="single" w:sz="6" w:space="6" w:color="D5D5D5"/>
                    <w:left w:val="none" w:sz="0" w:space="0" w:color="auto"/>
                    <w:bottom w:val="single" w:sz="6" w:space="6" w:color="D5D5D5"/>
                    <w:right w:val="none" w:sz="0" w:space="0" w:color="auto"/>
                  </w:divBdr>
                </w:div>
                <w:div w:id="1480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9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799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26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36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98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74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59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FFFFFF"/>
                        <w:right w:val="none" w:sz="0" w:space="0" w:color="auto"/>
                      </w:divBdr>
                      <w:divsChild>
                        <w:div w:id="2003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BF010819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BF0108190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BF01081907" TargetMode="External"/><Relationship Id="rId11" Type="http://schemas.openxmlformats.org/officeDocument/2006/relationships/hyperlink" Target="https://citation-needed.springer.com/v2/references/10.1007/BF01081907?format=refman&amp;flavour=citation" TargetMode="External"/><Relationship Id="rId5" Type="http://schemas.openxmlformats.org/officeDocument/2006/relationships/hyperlink" Target="https://link.springer.com/article/10.1007/BF01081907" TargetMode="External"/><Relationship Id="rId10" Type="http://schemas.openxmlformats.org/officeDocument/2006/relationships/hyperlink" Target="https://link.springer.com/journal/11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BF01081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PC-2</cp:lastModifiedBy>
  <cp:revision>7</cp:revision>
  <dcterms:created xsi:type="dcterms:W3CDTF">2023-08-12T17:37:00Z</dcterms:created>
  <dcterms:modified xsi:type="dcterms:W3CDTF">2023-08-19T17:45:00Z</dcterms:modified>
</cp:coreProperties>
</file>