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2510F" w14:textId="51826FE6" w:rsidR="0011313B" w:rsidRPr="0011313B" w:rsidRDefault="0011313B" w:rsidP="00113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1313B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407939F8" wp14:editId="4D8DBC6D">
            <wp:extent cx="704850" cy="419100"/>
            <wp:effectExtent l="0" t="0" r="0" b="0"/>
            <wp:docPr id="2" name="Рисунок 2" descr="Издательский дом &quot;Заславски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дательский дом &quot;Заславский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C658C" w14:textId="77777777" w:rsidR="0011313B" w:rsidRPr="0011313B" w:rsidRDefault="0011313B" w:rsidP="0011313B">
      <w:pPr>
        <w:spacing w:before="375" w:after="33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/>
        </w:rPr>
      </w:pPr>
      <w:r w:rsidRPr="0011313B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/>
        </w:rPr>
        <w:t>Международный эндокринологический журнал Том 16, №8, 2020</w:t>
      </w:r>
    </w:p>
    <w:p w14:paraId="5CE06F12" w14:textId="77777777" w:rsidR="0011313B" w:rsidRPr="0011313B" w:rsidRDefault="0011313B" w:rsidP="0011313B">
      <w:pPr>
        <w:spacing w:before="375" w:after="33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/>
        </w:rPr>
      </w:pPr>
      <w:r w:rsidRPr="0011313B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/>
        </w:rPr>
        <w:t>Особенности клинических проявлений и лечения синдрома Шмидта</w:t>
      </w:r>
    </w:p>
    <w:p w14:paraId="2911DCC2" w14:textId="77777777" w:rsidR="0011313B" w:rsidRPr="0011313B" w:rsidRDefault="0011313B" w:rsidP="00113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1313B">
        <w:rPr>
          <w:rFonts w:ascii="Verdana" w:eastAsia="Times New Roman" w:hAnsi="Verdana" w:cs="Times New Roman"/>
          <w:b/>
          <w:bCs/>
          <w:color w:val="000000"/>
          <w:sz w:val="17"/>
          <w:szCs w:val="17"/>
          <w:lang/>
        </w:rPr>
        <w:t>Авторы:</w:t>
      </w:r>
      <w:r w:rsidRPr="0011313B">
        <w:rPr>
          <w:rFonts w:ascii="Verdana" w:eastAsia="Times New Roman" w:hAnsi="Verdana" w:cs="Times New Roman"/>
          <w:color w:val="000000"/>
          <w:sz w:val="17"/>
          <w:szCs w:val="17"/>
          <w:lang/>
        </w:rPr>
        <w:t> Шкала Л.В.</w:t>
      </w:r>
      <w:r w:rsidRPr="0011313B">
        <w:rPr>
          <w:rFonts w:ascii="Verdana" w:eastAsia="Times New Roman" w:hAnsi="Verdana" w:cs="Times New Roman"/>
          <w:color w:val="000000"/>
          <w:sz w:val="17"/>
          <w:szCs w:val="17"/>
          <w:lang/>
        </w:rPr>
        <w:br/>
        <w:t>Национальный медицинский университет имени А.А. Богомольца, г. Киев, Украина</w:t>
      </w:r>
      <w:r w:rsidRPr="0011313B">
        <w:rPr>
          <w:rFonts w:ascii="Verdana" w:eastAsia="Times New Roman" w:hAnsi="Verdana" w:cs="Times New Roman"/>
          <w:color w:val="000000"/>
          <w:sz w:val="17"/>
          <w:szCs w:val="17"/>
          <w:lang/>
        </w:rPr>
        <w:br/>
      </w:r>
      <w:r w:rsidRPr="0011313B">
        <w:rPr>
          <w:rFonts w:ascii="Verdana" w:eastAsia="Times New Roman" w:hAnsi="Verdana" w:cs="Times New Roman"/>
          <w:b/>
          <w:bCs/>
          <w:color w:val="000000"/>
          <w:sz w:val="17"/>
          <w:szCs w:val="17"/>
          <w:lang/>
        </w:rPr>
        <w:t>Рубрики:</w:t>
      </w:r>
      <w:r w:rsidRPr="0011313B">
        <w:rPr>
          <w:rFonts w:ascii="Verdana" w:eastAsia="Times New Roman" w:hAnsi="Verdana" w:cs="Times New Roman"/>
          <w:color w:val="000000"/>
          <w:sz w:val="17"/>
          <w:szCs w:val="17"/>
          <w:lang/>
        </w:rPr>
        <w:t> Эндокринология</w:t>
      </w:r>
      <w:r w:rsidRPr="0011313B">
        <w:rPr>
          <w:rFonts w:ascii="Verdana" w:eastAsia="Times New Roman" w:hAnsi="Verdana" w:cs="Times New Roman"/>
          <w:color w:val="000000"/>
          <w:sz w:val="17"/>
          <w:szCs w:val="17"/>
          <w:lang/>
        </w:rPr>
        <w:br/>
      </w:r>
      <w:r w:rsidRPr="0011313B">
        <w:rPr>
          <w:rFonts w:ascii="Verdana" w:eastAsia="Times New Roman" w:hAnsi="Verdana" w:cs="Times New Roman"/>
          <w:b/>
          <w:bCs/>
          <w:color w:val="000000"/>
          <w:sz w:val="17"/>
          <w:szCs w:val="17"/>
          <w:lang/>
        </w:rPr>
        <w:t>Разделы:</w:t>
      </w:r>
      <w:r w:rsidRPr="0011313B">
        <w:rPr>
          <w:rFonts w:ascii="Verdana" w:eastAsia="Times New Roman" w:hAnsi="Verdana" w:cs="Times New Roman"/>
          <w:color w:val="000000"/>
          <w:sz w:val="17"/>
          <w:szCs w:val="17"/>
          <w:lang/>
        </w:rPr>
        <w:t> Справочник специалиста</w:t>
      </w:r>
      <w:r w:rsidRPr="0011313B">
        <w:rPr>
          <w:rFonts w:ascii="Verdana" w:eastAsia="Times New Roman" w:hAnsi="Verdana" w:cs="Times New Roman"/>
          <w:color w:val="000000"/>
          <w:sz w:val="17"/>
          <w:szCs w:val="17"/>
          <w:lang/>
        </w:rPr>
        <w:br/>
      </w:r>
    </w:p>
    <w:p w14:paraId="2D4EC270" w14:textId="77777777" w:rsidR="0011313B" w:rsidRPr="0011313B" w:rsidRDefault="0011313B" w:rsidP="0011313B">
      <w:pPr>
        <w:spacing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/>
        </w:rPr>
      </w:pPr>
      <w:r w:rsidRPr="0011313B">
        <w:rPr>
          <w:rFonts w:ascii="Verdana" w:eastAsia="Times New Roman" w:hAnsi="Verdana" w:cs="Times New Roman"/>
          <w:b/>
          <w:bCs/>
          <w:color w:val="000000"/>
          <w:sz w:val="17"/>
          <w:szCs w:val="17"/>
          <w:lang/>
        </w:rPr>
        <w:t>Резюме</w:t>
      </w:r>
    </w:p>
    <w:p w14:paraId="418612DC" w14:textId="77777777" w:rsidR="0011313B" w:rsidRPr="0011313B" w:rsidRDefault="0011313B" w:rsidP="0011313B">
      <w:pPr>
        <w:spacing w:before="165" w:line="240" w:lineRule="auto"/>
        <w:rPr>
          <w:rFonts w:ascii="Verdana" w:eastAsia="Times New Roman" w:hAnsi="Verdana" w:cs="Times New Roman"/>
          <w:color w:val="000000"/>
          <w:sz w:val="17"/>
          <w:szCs w:val="17"/>
          <w:lang/>
        </w:rPr>
      </w:pPr>
      <w:r w:rsidRPr="0011313B">
        <w:rPr>
          <w:rFonts w:ascii="Verdana" w:eastAsia="Times New Roman" w:hAnsi="Verdana" w:cs="Times New Roman"/>
          <w:color w:val="000000"/>
          <w:sz w:val="17"/>
          <w:szCs w:val="17"/>
          <w:lang/>
        </w:rPr>
        <w:t>Актуальность. Наиболее часто встречается аутоиммунный полигландулярный синдром 2-го типа. Представляет интерес развитие и течение синдрома Шмидта, что требует всесторонней диагностики ввиду сочетания нескольких аутоиммунных эндокринопатий и рациональной терапии. Цель: проанализировать особенности клинических проявлений и лечения аутоиммунного полигландулярного синдрома 2-го типа на конкретном примере. Материалы и методы. Для рассмотрения представлен наблюдаемый нами клинический случай синдрома Шмидта у пациентки 36 лет. Имели место первичная надпочечниковая недостаточность с аутоиммунным процессом к 21-гидроксилазе и наличие аутоиммунного тиреоидита с развитием гипотиреоза. Результаты. В клинических проявлениях заболевания доминировали синдромы гипотензии, общей и мышечной слабости, гиперпигментации, потери массы тела, диспептических расстройств, усугубившиеся в результате присоединения вирусной инфекции, на фоне отечного синдрома. Дополнительное обследование выявило значительное повышение адренокортикотропного гормона, ренина, гиперкалиемию, гиперхолестеринемию, повышение 17-гидроксипрогестерона, тиреотропного гормона, гипотироксинемию, повышение антител к 21-гидроксилазе и к тиреоидной пероксидазе при уменьшении объема щитовидной железы с наличием множественных линейных включений, повышением эхогенности. Анализ выявленных гормональных, метаболических и патоморфологических изменений позволил установить наличие в данном клиническом случае синдрома Шмидта. Проводимое лечение глюкокортикоидами сопровождалось побочными реакциями, что привело к неоднократной замене препаратов. Выбор был сделан в пользу кортефа, доза тщательно оттитрована под контролем кортизолурии. Назначение левотироксина сопровождалось достижением эутиреоза. Выводы. Манифестация синдрома Шмидта при одновременном проявлении первичной надпочечниковой недостаточности аутоиммунного генеза и аутоиммунного тиреоидита с развитием гипотиреоза отличалась взаимно отягощающим течением. Имелись значительные трудности в лечении данного полигландулярного синдрома, связанные с коррекцией гипокортицизма, вследствие плохой переносимости глюкокортикоидов, что требовало постоянного наблюдения, неоднократного контроля за состоянием гормонального и метаболического статусов.</w:t>
      </w:r>
    </w:p>
    <w:p w14:paraId="4F8E6966" w14:textId="77777777" w:rsidR="0011313B" w:rsidRPr="0011313B" w:rsidRDefault="0011313B" w:rsidP="0011313B">
      <w:pPr>
        <w:spacing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/>
        </w:rPr>
      </w:pPr>
      <w:r w:rsidRPr="0011313B">
        <w:rPr>
          <w:rFonts w:ascii="Verdana" w:eastAsia="Times New Roman" w:hAnsi="Verdana" w:cs="Times New Roman"/>
          <w:b/>
          <w:bCs/>
          <w:color w:val="000000"/>
          <w:sz w:val="17"/>
          <w:szCs w:val="17"/>
          <w:lang/>
        </w:rPr>
        <w:t>Ключевые слова</w:t>
      </w:r>
    </w:p>
    <w:p w14:paraId="256E41FA" w14:textId="77777777" w:rsidR="0011313B" w:rsidRPr="0011313B" w:rsidRDefault="0011313B" w:rsidP="0011313B">
      <w:pPr>
        <w:spacing w:before="165" w:line="240" w:lineRule="auto"/>
        <w:rPr>
          <w:rFonts w:ascii="Verdana" w:eastAsia="Times New Roman" w:hAnsi="Verdana" w:cs="Times New Roman"/>
          <w:color w:val="000000"/>
          <w:sz w:val="17"/>
          <w:szCs w:val="17"/>
          <w:lang/>
        </w:rPr>
      </w:pPr>
      <w:r w:rsidRPr="0011313B">
        <w:rPr>
          <w:rFonts w:ascii="Verdana" w:eastAsia="Times New Roman" w:hAnsi="Verdana" w:cs="Times New Roman"/>
          <w:color w:val="000000"/>
          <w:sz w:val="17"/>
          <w:szCs w:val="17"/>
          <w:lang/>
        </w:rPr>
        <w:t>синдром Шмидта; аутоиммунный тиреоидит; диагностика; лечение</w:t>
      </w:r>
    </w:p>
    <w:p w14:paraId="11E5D815" w14:textId="49AC7318" w:rsidR="0011313B" w:rsidRPr="0011313B" w:rsidRDefault="0011313B" w:rsidP="00113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1313B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05B1BE68" wp14:editId="41ADF568">
            <wp:extent cx="1905000" cy="1628775"/>
            <wp:effectExtent l="0" t="0" r="0" b="9525"/>
            <wp:docPr id="1" name="Рисунок 1" descr="Особенности клинических проявлений и лечения синдрома Шмид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обенности клинических проявлений и лечения синдрома Шмид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13B">
        <w:rPr>
          <w:rFonts w:ascii="Verdana" w:eastAsia="Times New Roman" w:hAnsi="Verdana" w:cs="Times New Roman"/>
          <w:color w:val="000000"/>
          <w:sz w:val="17"/>
          <w:szCs w:val="17"/>
          <w:lang/>
        </w:rPr>
        <w:t> Для просмотра полной версии статьи, пожалуйста </w:t>
      </w:r>
      <w:hyperlink r:id="rId7" w:history="1">
        <w:r w:rsidRPr="0011313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/>
          </w:rPr>
          <w:t>войдите </w:t>
        </w:r>
      </w:hyperlink>
      <w:r w:rsidRPr="0011313B">
        <w:rPr>
          <w:rFonts w:ascii="Verdana" w:eastAsia="Times New Roman" w:hAnsi="Verdana" w:cs="Times New Roman"/>
          <w:color w:val="000000"/>
          <w:sz w:val="17"/>
          <w:szCs w:val="17"/>
          <w:lang/>
        </w:rPr>
        <w:t>или </w:t>
      </w:r>
      <w:hyperlink r:id="rId8" w:history="1">
        <w:r w:rsidRPr="0011313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/>
          </w:rPr>
          <w:t>зарегистрируйтесь</w:t>
        </w:r>
      </w:hyperlink>
      <w:r w:rsidRPr="0011313B">
        <w:rPr>
          <w:rFonts w:ascii="Verdana" w:eastAsia="Times New Roman" w:hAnsi="Verdana" w:cs="Times New Roman"/>
          <w:color w:val="000000"/>
          <w:sz w:val="17"/>
          <w:szCs w:val="17"/>
          <w:lang/>
        </w:rPr>
        <w:t>.</w:t>
      </w:r>
    </w:p>
    <w:p w14:paraId="399F6350" w14:textId="77777777" w:rsidR="0011313B" w:rsidRPr="0011313B" w:rsidRDefault="0011313B" w:rsidP="0011313B">
      <w:pPr>
        <w:spacing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/>
        </w:rPr>
      </w:pPr>
      <w:r w:rsidRPr="0011313B">
        <w:rPr>
          <w:rFonts w:ascii="Verdana" w:eastAsia="Times New Roman" w:hAnsi="Verdana" w:cs="Times New Roman"/>
          <w:b/>
          <w:bCs/>
          <w:color w:val="000000"/>
          <w:sz w:val="17"/>
          <w:szCs w:val="17"/>
          <w:lang/>
        </w:rPr>
        <w:t>Список литературы</w:t>
      </w:r>
    </w:p>
    <w:p w14:paraId="32B1CB0E" w14:textId="77777777" w:rsidR="0011313B" w:rsidRPr="0011313B" w:rsidRDefault="0011313B" w:rsidP="0011313B">
      <w:pPr>
        <w:numPr>
          <w:ilvl w:val="0"/>
          <w:numId w:val="1"/>
        </w:numPr>
        <w:spacing w:before="240" w:after="240" w:line="240" w:lineRule="auto"/>
        <w:ind w:left="1065"/>
        <w:jc w:val="both"/>
        <w:rPr>
          <w:rFonts w:ascii="Verdana" w:eastAsia="Times New Roman" w:hAnsi="Verdana" w:cs="Times New Roman"/>
          <w:color w:val="000000"/>
          <w:sz w:val="17"/>
          <w:szCs w:val="17"/>
          <w:lang/>
        </w:rPr>
      </w:pPr>
      <w:r w:rsidRPr="0011313B">
        <w:rPr>
          <w:rFonts w:ascii="Verdana" w:eastAsia="Times New Roman" w:hAnsi="Verdana" w:cs="Times New Roman"/>
          <w:color w:val="000000"/>
          <w:sz w:val="17"/>
          <w:szCs w:val="17"/>
          <w:lang/>
        </w:rPr>
        <w:t>Vorobyev S.V., Khripun I.A., Kuzmenko N.A., Streltsova E.M., Petrovskaya E.Y. Schmidt syndrome in clinical practice. South Russian Journal of Therapeutic Practice. 2020. № 1(2). Р. 88-92. https://doi.org/10.21886/2712-8156-2020-1-2-88-92 (in Russian).</w:t>
      </w:r>
    </w:p>
    <w:p w14:paraId="69C7AD81" w14:textId="77777777" w:rsidR="0011313B" w:rsidRPr="0011313B" w:rsidRDefault="0011313B" w:rsidP="0011313B">
      <w:pPr>
        <w:numPr>
          <w:ilvl w:val="0"/>
          <w:numId w:val="1"/>
        </w:numPr>
        <w:spacing w:before="240" w:after="240" w:line="240" w:lineRule="auto"/>
        <w:ind w:left="1065"/>
        <w:jc w:val="both"/>
        <w:rPr>
          <w:rFonts w:ascii="Verdana" w:eastAsia="Times New Roman" w:hAnsi="Verdana" w:cs="Times New Roman"/>
          <w:color w:val="000000"/>
          <w:sz w:val="17"/>
          <w:szCs w:val="17"/>
          <w:lang/>
        </w:rPr>
      </w:pPr>
      <w:r w:rsidRPr="0011313B">
        <w:rPr>
          <w:rFonts w:ascii="Verdana" w:eastAsia="Times New Roman" w:hAnsi="Verdana" w:cs="Times New Roman"/>
          <w:color w:val="000000"/>
          <w:sz w:val="17"/>
          <w:szCs w:val="17"/>
          <w:lang/>
        </w:rPr>
        <w:t>Husebye E.S., Anderson M.S., Kämpe O. Autoimmune Polyendocrine Syndromes. N. Engl. J. Med. 2018. № 378(12). Р. 1132-1141. doi: 10.1056/NEJMra1713301. </w:t>
      </w:r>
    </w:p>
    <w:p w14:paraId="2C580A67" w14:textId="77777777" w:rsidR="0011313B" w:rsidRPr="0011313B" w:rsidRDefault="0011313B" w:rsidP="0011313B">
      <w:pPr>
        <w:numPr>
          <w:ilvl w:val="0"/>
          <w:numId w:val="1"/>
        </w:numPr>
        <w:spacing w:before="240" w:after="240" w:line="240" w:lineRule="auto"/>
        <w:ind w:left="1065"/>
        <w:jc w:val="both"/>
        <w:rPr>
          <w:rFonts w:ascii="Verdana" w:eastAsia="Times New Roman" w:hAnsi="Verdana" w:cs="Times New Roman"/>
          <w:color w:val="000000"/>
          <w:sz w:val="17"/>
          <w:szCs w:val="17"/>
          <w:lang/>
        </w:rPr>
      </w:pPr>
      <w:r w:rsidRPr="0011313B">
        <w:rPr>
          <w:rFonts w:ascii="Verdana" w:eastAsia="Times New Roman" w:hAnsi="Verdana" w:cs="Times New Roman"/>
          <w:color w:val="000000"/>
          <w:sz w:val="17"/>
          <w:szCs w:val="17"/>
          <w:lang/>
        </w:rPr>
        <w:t>Gutierrez M.J., Gilson J., Zacharias J., Ishmael F., Bingham C.A. Childhood Polyarthritis As Early Manifestation of Autoimmune Polyendocrinopathy with Candidiasis and Ectodermal Dystrophy Syndrome. Front. Immunol. 2017. № 8. Р. 377. doi: 10.3389/fimmu.2017.00377. </w:t>
      </w:r>
    </w:p>
    <w:p w14:paraId="4893D168" w14:textId="77777777" w:rsidR="0011313B" w:rsidRPr="0011313B" w:rsidRDefault="0011313B" w:rsidP="0011313B">
      <w:pPr>
        <w:numPr>
          <w:ilvl w:val="0"/>
          <w:numId w:val="1"/>
        </w:numPr>
        <w:spacing w:before="240" w:after="240" w:line="240" w:lineRule="auto"/>
        <w:ind w:left="1065"/>
        <w:jc w:val="both"/>
        <w:rPr>
          <w:rFonts w:ascii="Verdana" w:eastAsia="Times New Roman" w:hAnsi="Verdana" w:cs="Times New Roman"/>
          <w:color w:val="000000"/>
          <w:sz w:val="17"/>
          <w:szCs w:val="17"/>
          <w:lang/>
        </w:rPr>
      </w:pPr>
      <w:r w:rsidRPr="0011313B">
        <w:rPr>
          <w:rFonts w:ascii="Verdana" w:eastAsia="Times New Roman" w:hAnsi="Verdana" w:cs="Times New Roman"/>
          <w:color w:val="000000"/>
          <w:sz w:val="17"/>
          <w:szCs w:val="17"/>
          <w:lang/>
        </w:rPr>
        <w:t>Kakleas K., Soldatou A., Karachaliou F., Karavanaki K. Associated autoimmune diseases in children and adolescents with type 1 diabetes mellitus. Autoimmun. Rev. 2015. № 14(9). Р. 781-797. https://doi.org/10.1016/j.autrev.2015.05.002.</w:t>
      </w:r>
    </w:p>
    <w:p w14:paraId="69D56143" w14:textId="77777777" w:rsidR="0011313B" w:rsidRPr="0011313B" w:rsidRDefault="0011313B" w:rsidP="0011313B">
      <w:pPr>
        <w:numPr>
          <w:ilvl w:val="0"/>
          <w:numId w:val="1"/>
        </w:numPr>
        <w:spacing w:before="240" w:after="240" w:line="240" w:lineRule="auto"/>
        <w:ind w:left="1065"/>
        <w:jc w:val="both"/>
        <w:rPr>
          <w:rFonts w:ascii="Verdana" w:eastAsia="Times New Roman" w:hAnsi="Verdana" w:cs="Times New Roman"/>
          <w:color w:val="000000"/>
          <w:sz w:val="17"/>
          <w:szCs w:val="17"/>
          <w:lang/>
        </w:rPr>
      </w:pPr>
      <w:r w:rsidRPr="0011313B">
        <w:rPr>
          <w:rFonts w:ascii="Verdana" w:eastAsia="Times New Roman" w:hAnsi="Verdana" w:cs="Times New Roman"/>
          <w:color w:val="000000"/>
          <w:sz w:val="17"/>
          <w:szCs w:val="17"/>
          <w:lang/>
        </w:rPr>
        <w:t>Lebovitz H.E. Autoimmune polyglandular syndromes: interplay between the immune and the endocrine systems leading to a diverse set of clinical diseases and new insights into immune regulation. Diabetes Technol. Ther. 2013. № 15 (suppl. 2). S2-21-S2-28. doi: 10.1089/dia.2013.0130. </w:t>
      </w:r>
    </w:p>
    <w:p w14:paraId="3A01496B" w14:textId="77777777" w:rsidR="0011313B" w:rsidRPr="0011313B" w:rsidRDefault="0011313B" w:rsidP="0011313B">
      <w:pPr>
        <w:numPr>
          <w:ilvl w:val="0"/>
          <w:numId w:val="1"/>
        </w:numPr>
        <w:spacing w:before="240" w:after="240" w:line="240" w:lineRule="auto"/>
        <w:ind w:left="1065"/>
        <w:jc w:val="both"/>
        <w:rPr>
          <w:rFonts w:ascii="Verdana" w:eastAsia="Times New Roman" w:hAnsi="Verdana" w:cs="Times New Roman"/>
          <w:color w:val="000000"/>
          <w:sz w:val="17"/>
          <w:szCs w:val="17"/>
          <w:lang/>
        </w:rPr>
      </w:pPr>
      <w:r w:rsidRPr="0011313B">
        <w:rPr>
          <w:rFonts w:ascii="Verdana" w:eastAsia="Times New Roman" w:hAnsi="Verdana" w:cs="Times New Roman"/>
          <w:color w:val="000000"/>
          <w:sz w:val="17"/>
          <w:szCs w:val="17"/>
          <w:lang/>
        </w:rPr>
        <w:t>Azad A.K., Islam M.S., Quayum S.L. Autoimmune polyglandular syndrome type II — a case report. Mymensingh Med. J. 2015. № 24(1). Р. 199-201. PMID: 25725692.</w:t>
      </w:r>
    </w:p>
    <w:p w14:paraId="5E6A4DEF" w14:textId="77777777" w:rsidR="0011313B" w:rsidRPr="0011313B" w:rsidRDefault="0011313B" w:rsidP="0011313B">
      <w:pPr>
        <w:numPr>
          <w:ilvl w:val="0"/>
          <w:numId w:val="1"/>
        </w:numPr>
        <w:spacing w:before="240" w:after="240" w:line="240" w:lineRule="auto"/>
        <w:ind w:left="1065"/>
        <w:jc w:val="both"/>
        <w:rPr>
          <w:rFonts w:ascii="Verdana" w:eastAsia="Times New Roman" w:hAnsi="Verdana" w:cs="Times New Roman"/>
          <w:color w:val="000000"/>
          <w:sz w:val="17"/>
          <w:szCs w:val="17"/>
          <w:lang/>
        </w:rPr>
      </w:pPr>
      <w:r w:rsidRPr="0011313B">
        <w:rPr>
          <w:rFonts w:ascii="Verdana" w:eastAsia="Times New Roman" w:hAnsi="Verdana" w:cs="Times New Roman"/>
          <w:color w:val="000000"/>
          <w:sz w:val="17"/>
          <w:szCs w:val="17"/>
          <w:lang/>
        </w:rPr>
        <w:t>Gendeleka G.F., Gendeleka A.N. Difficulties in the diagnosis and therapeutic approach in autoimmune polyglandular syndrome type 2. A clinical сase. Mìžnarodnij endokrinologìčnij žurnal. 2018. № 14(1). Р. 99-102. doi: 10.22141/2224-0721.14.1.2018.127101 (in Russian).</w:t>
      </w:r>
    </w:p>
    <w:p w14:paraId="2F3CAF47" w14:textId="77777777" w:rsidR="0011313B" w:rsidRPr="0011313B" w:rsidRDefault="0011313B" w:rsidP="0011313B">
      <w:pPr>
        <w:numPr>
          <w:ilvl w:val="0"/>
          <w:numId w:val="1"/>
        </w:numPr>
        <w:spacing w:before="240" w:after="240" w:line="240" w:lineRule="auto"/>
        <w:ind w:left="1065"/>
        <w:jc w:val="both"/>
        <w:rPr>
          <w:rFonts w:ascii="Verdana" w:eastAsia="Times New Roman" w:hAnsi="Verdana" w:cs="Times New Roman"/>
          <w:color w:val="000000"/>
          <w:sz w:val="17"/>
          <w:szCs w:val="17"/>
          <w:lang/>
        </w:rPr>
      </w:pPr>
      <w:r w:rsidRPr="0011313B">
        <w:rPr>
          <w:rFonts w:ascii="Verdana" w:eastAsia="Times New Roman" w:hAnsi="Verdana" w:cs="Times New Roman"/>
          <w:color w:val="000000"/>
          <w:sz w:val="17"/>
          <w:szCs w:val="17"/>
          <w:lang/>
        </w:rPr>
        <w:t>Bornstein S.R., Allolio B., Arlt W., Barthel A., Don-Wauchope A., Hammer G.D., Husebye E.S. et al. Diagnosis and Treatment of Primary Adrenal Insufficiency: An Endocrine Society Clinical Practice Guideline. The Journal of Clinical Endocrinology &amp; Metabolism. 2016. № 101(2). Р. 364-389. https://doi.org/10.1210/jc.2015-1710</w:t>
      </w:r>
    </w:p>
    <w:p w14:paraId="461D0E62" w14:textId="77777777" w:rsidR="0011313B" w:rsidRPr="0011313B" w:rsidRDefault="0011313B" w:rsidP="0011313B">
      <w:pPr>
        <w:numPr>
          <w:ilvl w:val="0"/>
          <w:numId w:val="1"/>
        </w:numPr>
        <w:spacing w:before="240" w:after="240" w:line="240" w:lineRule="auto"/>
        <w:ind w:left="1065"/>
        <w:jc w:val="both"/>
        <w:rPr>
          <w:rFonts w:ascii="Verdana" w:eastAsia="Times New Roman" w:hAnsi="Verdana" w:cs="Times New Roman"/>
          <w:color w:val="000000"/>
          <w:sz w:val="17"/>
          <w:szCs w:val="17"/>
          <w:lang/>
        </w:rPr>
      </w:pPr>
      <w:r w:rsidRPr="0011313B">
        <w:rPr>
          <w:rFonts w:ascii="Verdana" w:eastAsia="Times New Roman" w:hAnsi="Verdana" w:cs="Times New Roman"/>
          <w:color w:val="000000"/>
          <w:sz w:val="17"/>
          <w:szCs w:val="17"/>
          <w:lang/>
        </w:rPr>
        <w:t>Karamifar H., Dalili S., Karamizadeh Z., Amirhakimi G., Dalili H. Autoimmune polyglandular syndrome type 2: an unusual presentation. Acta Med. Iran. 2010. № 48(3). Р. 196-7. PMID: 21137658.</w:t>
      </w:r>
    </w:p>
    <w:p w14:paraId="63BDAC67" w14:textId="77777777" w:rsidR="0011313B" w:rsidRPr="0011313B" w:rsidRDefault="0011313B" w:rsidP="0011313B">
      <w:pPr>
        <w:numPr>
          <w:ilvl w:val="0"/>
          <w:numId w:val="1"/>
        </w:numPr>
        <w:spacing w:before="240" w:after="240" w:line="240" w:lineRule="auto"/>
        <w:ind w:left="1065"/>
        <w:jc w:val="both"/>
        <w:rPr>
          <w:rFonts w:ascii="Verdana" w:eastAsia="Times New Roman" w:hAnsi="Verdana" w:cs="Times New Roman"/>
          <w:color w:val="000000"/>
          <w:sz w:val="17"/>
          <w:szCs w:val="17"/>
          <w:lang/>
        </w:rPr>
      </w:pPr>
      <w:r w:rsidRPr="0011313B">
        <w:rPr>
          <w:rFonts w:ascii="Verdana" w:eastAsia="Times New Roman" w:hAnsi="Verdana" w:cs="Times New Roman"/>
          <w:color w:val="000000"/>
          <w:sz w:val="17"/>
          <w:szCs w:val="17"/>
          <w:lang/>
        </w:rPr>
        <w:t>Smith R.K., Gerrits P.M. A Rare Case of Autoimmune Polyglandular Syndrome Type 2 in a Child With Persistent Fatigue. Global Pediatric Health. 2019. doi: 10.1177/2333794X19845074.</w:t>
      </w:r>
    </w:p>
    <w:p w14:paraId="7E8BCD59" w14:textId="77777777" w:rsidR="0011313B" w:rsidRPr="0011313B" w:rsidRDefault="0011313B" w:rsidP="0011313B">
      <w:pPr>
        <w:numPr>
          <w:ilvl w:val="0"/>
          <w:numId w:val="1"/>
        </w:numPr>
        <w:spacing w:before="240" w:after="240" w:line="240" w:lineRule="auto"/>
        <w:ind w:left="1065"/>
        <w:jc w:val="both"/>
        <w:rPr>
          <w:rFonts w:ascii="Verdana" w:eastAsia="Times New Roman" w:hAnsi="Verdana" w:cs="Times New Roman"/>
          <w:color w:val="000000"/>
          <w:sz w:val="17"/>
          <w:szCs w:val="17"/>
          <w:lang/>
        </w:rPr>
      </w:pPr>
      <w:r w:rsidRPr="0011313B">
        <w:rPr>
          <w:rFonts w:ascii="Verdana" w:eastAsia="Times New Roman" w:hAnsi="Verdana" w:cs="Times New Roman"/>
          <w:color w:val="000000"/>
          <w:sz w:val="17"/>
          <w:szCs w:val="17"/>
          <w:lang/>
        </w:rPr>
        <w:t>Gouda M.R., Al-Amin A., Grabsch H., Donnellan C. A multidisciplinary approach to management of autoimmune polyendocrinopathy candidiasis ectodermal dystrophy (APECED). BMJ Case Rep. 2013. № 2013. bcr2012008116. doi: 10.1136/bcr-2012-008116. </w:t>
      </w:r>
    </w:p>
    <w:p w14:paraId="5451B8AE" w14:textId="77777777" w:rsidR="0011313B" w:rsidRPr="0011313B" w:rsidRDefault="0011313B" w:rsidP="0011313B">
      <w:pPr>
        <w:numPr>
          <w:ilvl w:val="0"/>
          <w:numId w:val="1"/>
        </w:numPr>
        <w:spacing w:before="240" w:after="240" w:line="240" w:lineRule="auto"/>
        <w:ind w:left="1065"/>
        <w:jc w:val="both"/>
        <w:rPr>
          <w:rFonts w:ascii="Verdana" w:eastAsia="Times New Roman" w:hAnsi="Verdana" w:cs="Times New Roman"/>
          <w:color w:val="000000"/>
          <w:sz w:val="17"/>
          <w:szCs w:val="17"/>
          <w:lang/>
        </w:rPr>
      </w:pPr>
      <w:r w:rsidRPr="0011313B">
        <w:rPr>
          <w:rFonts w:ascii="Verdana" w:eastAsia="Times New Roman" w:hAnsi="Verdana" w:cs="Times New Roman"/>
          <w:color w:val="000000"/>
          <w:sz w:val="17"/>
          <w:szCs w:val="17"/>
          <w:lang/>
        </w:rPr>
        <w:t>Wang X., Ping F., Qi C., Xiao X. Delayed diagnosis with autoimmune polyglandular syndrome type 2 causing acute adrenal crisis: A case report. Medicine (Baltimore). 2016. № 95(42). e5062. doi: 10.1097/MD.0000000000005062. </w:t>
      </w:r>
    </w:p>
    <w:p w14:paraId="5E26D409" w14:textId="77777777" w:rsidR="0011313B" w:rsidRPr="0011313B" w:rsidRDefault="0011313B" w:rsidP="0011313B">
      <w:pPr>
        <w:numPr>
          <w:ilvl w:val="0"/>
          <w:numId w:val="1"/>
        </w:numPr>
        <w:spacing w:before="240" w:after="240" w:line="240" w:lineRule="auto"/>
        <w:ind w:left="1065"/>
        <w:jc w:val="both"/>
        <w:rPr>
          <w:rFonts w:ascii="Verdana" w:eastAsia="Times New Roman" w:hAnsi="Verdana" w:cs="Times New Roman"/>
          <w:color w:val="000000"/>
          <w:sz w:val="17"/>
          <w:szCs w:val="17"/>
          <w:lang/>
        </w:rPr>
      </w:pPr>
      <w:r w:rsidRPr="0011313B">
        <w:rPr>
          <w:rFonts w:ascii="Verdana" w:eastAsia="Times New Roman" w:hAnsi="Verdana" w:cs="Times New Roman"/>
          <w:color w:val="000000"/>
          <w:sz w:val="17"/>
          <w:szCs w:val="17"/>
          <w:lang/>
        </w:rPr>
        <w:t>Brandão Neto R.A., de Carvalho J.F. Diagnosis and classification of Addison's disease (autoimmune adrenalitis). Autoimmun. Rev. 2014. № 13(4–5). Р. 408-11. doi: 10.1016/j.autrev.2014.01.025.</w:t>
      </w:r>
    </w:p>
    <w:p w14:paraId="12A13B88" w14:textId="77777777" w:rsidR="0011313B" w:rsidRPr="0011313B" w:rsidRDefault="0011313B" w:rsidP="0011313B">
      <w:pPr>
        <w:numPr>
          <w:ilvl w:val="0"/>
          <w:numId w:val="1"/>
        </w:numPr>
        <w:spacing w:before="240" w:after="240" w:line="240" w:lineRule="auto"/>
        <w:ind w:left="1065"/>
        <w:jc w:val="both"/>
        <w:rPr>
          <w:rFonts w:ascii="Verdana" w:eastAsia="Times New Roman" w:hAnsi="Verdana" w:cs="Times New Roman"/>
          <w:color w:val="000000"/>
          <w:sz w:val="17"/>
          <w:szCs w:val="17"/>
          <w:lang/>
        </w:rPr>
      </w:pPr>
      <w:r w:rsidRPr="0011313B">
        <w:rPr>
          <w:rFonts w:ascii="Verdana" w:eastAsia="Times New Roman" w:hAnsi="Verdana" w:cs="Times New Roman"/>
          <w:color w:val="000000"/>
          <w:sz w:val="17"/>
          <w:szCs w:val="17"/>
          <w:lang/>
        </w:rPr>
        <w:t>Meyer G., Badenhoop K., Linder R. Addison's disease with polyglandular autoimmunity carries a more than 2·5-fold risk for adrenal crises: German Health insurance data 2010–2013. Clin. Endocrinol. (Oxf). 2016. № 85(3). Р. 347-53. doi: 10.1111/cen.13043. </w:t>
      </w:r>
    </w:p>
    <w:p w14:paraId="4E759737" w14:textId="77777777" w:rsidR="0011313B" w:rsidRPr="0011313B" w:rsidRDefault="0011313B" w:rsidP="0011313B">
      <w:pPr>
        <w:numPr>
          <w:ilvl w:val="0"/>
          <w:numId w:val="1"/>
        </w:numPr>
        <w:spacing w:before="240" w:line="240" w:lineRule="auto"/>
        <w:ind w:left="1065"/>
        <w:jc w:val="both"/>
        <w:rPr>
          <w:rFonts w:ascii="Verdana" w:eastAsia="Times New Roman" w:hAnsi="Verdana" w:cs="Times New Roman"/>
          <w:color w:val="000000"/>
          <w:sz w:val="17"/>
          <w:szCs w:val="17"/>
          <w:lang/>
        </w:rPr>
      </w:pPr>
      <w:r w:rsidRPr="0011313B">
        <w:rPr>
          <w:rFonts w:ascii="Verdana" w:eastAsia="Times New Roman" w:hAnsi="Verdana" w:cs="Times New Roman"/>
          <w:color w:val="000000"/>
          <w:sz w:val="17"/>
          <w:szCs w:val="17"/>
          <w:lang/>
        </w:rPr>
        <w:t>Dittmar M., Kahaly G.J. Polyglandular autoimmune syndromes: immunogenetics and long-term follow-up. J. Clin. Endocrinol. Metab. 2003 Jul. № 88(7). Р. 2983-92. doi: 10.1210/jc.2002-021845. PMID: 12843130.</w:t>
      </w:r>
    </w:p>
    <w:p w14:paraId="5F0C2FB8" w14:textId="77777777" w:rsidR="00A06316" w:rsidRDefault="0011313B"/>
    <w:sectPr w:rsidR="00A0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7262A"/>
    <w:multiLevelType w:val="multilevel"/>
    <w:tmpl w:val="80AA7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3B"/>
    <w:rsid w:val="0011313B"/>
    <w:rsid w:val="001B6419"/>
    <w:rsid w:val="00470DA1"/>
    <w:rsid w:val="00B76643"/>
    <w:rsid w:val="00DE11B5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76E5"/>
  <w15:chartTrackingRefBased/>
  <w15:docId w15:val="{9726A88F-9B54-451B-B4E2-A4ED1D86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3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13B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a3">
    <w:name w:val="Normal (Web)"/>
    <w:basedOn w:val="a"/>
    <w:uiPriority w:val="99"/>
    <w:semiHidden/>
    <w:unhideWhenUsed/>
    <w:rsid w:val="0011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Hyperlink"/>
    <w:basedOn w:val="a0"/>
    <w:uiPriority w:val="99"/>
    <w:semiHidden/>
    <w:unhideWhenUsed/>
    <w:rsid w:val="00113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09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8" w:color="000000"/>
            <w:right w:val="none" w:sz="0" w:space="0" w:color="auto"/>
          </w:divBdr>
        </w:div>
        <w:div w:id="14259587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8" w:color="000000"/>
            <w:right w:val="none" w:sz="0" w:space="0" w:color="auto"/>
          </w:divBdr>
        </w:div>
        <w:div w:id="20307893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8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f-ua.com/accounts/signu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f-ua.com/accounts/sign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930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Stupin</dc:creator>
  <cp:keywords/>
  <dc:description/>
  <cp:lastModifiedBy>Anton Stupin</cp:lastModifiedBy>
  <cp:revision>1</cp:revision>
  <dcterms:created xsi:type="dcterms:W3CDTF">2023-02-21T12:35:00Z</dcterms:created>
  <dcterms:modified xsi:type="dcterms:W3CDTF">2023-02-21T12:36:00Z</dcterms:modified>
</cp:coreProperties>
</file>