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5C" w:rsidRPr="005A6E94" w:rsidRDefault="00CE4235" w:rsidP="006C0851">
      <w:pPr>
        <w:shd w:val="clear" w:color="auto" w:fill="FFFFFF"/>
        <w:spacing w:before="120" w:after="120" w:line="300" w:lineRule="atLeast"/>
        <w:ind w:firstLine="709"/>
        <w:jc w:val="both"/>
        <w:outlineLvl w:val="0"/>
        <w:rPr>
          <w:b/>
          <w:lang w:val="en-US"/>
        </w:rPr>
      </w:pPr>
      <w:r>
        <w:rPr>
          <w:b/>
          <w:lang w:val="en-US"/>
        </w:rPr>
        <w:t xml:space="preserve">How does left ventricle </w:t>
      </w:r>
      <w:r w:rsidR="00E51349">
        <w:rPr>
          <w:b/>
          <w:lang w:val="en-US"/>
        </w:rPr>
        <w:t>affect</w:t>
      </w:r>
      <w:r>
        <w:rPr>
          <w:b/>
          <w:lang w:val="en-US"/>
        </w:rPr>
        <w:t xml:space="preserve"> </w:t>
      </w:r>
      <w:r w:rsidR="00455C77" w:rsidRPr="005A6E94">
        <w:rPr>
          <w:b/>
          <w:lang w:val="en-US"/>
        </w:rPr>
        <w:t xml:space="preserve">left atrium </w:t>
      </w:r>
      <w:r w:rsidR="00F6785C" w:rsidRPr="005A6E94">
        <w:rPr>
          <w:b/>
          <w:lang w:val="en-US"/>
        </w:rPr>
        <w:t xml:space="preserve">in obese patients with </w:t>
      </w:r>
      <w:r w:rsidR="00455C77" w:rsidRPr="005A6E94">
        <w:rPr>
          <w:b/>
          <w:lang w:val="en-US"/>
        </w:rPr>
        <w:t xml:space="preserve">atrial fibrillation and </w:t>
      </w:r>
      <w:r w:rsidR="00F6785C" w:rsidRPr="005A6E94">
        <w:rPr>
          <w:b/>
          <w:lang w:val="en-US"/>
        </w:rPr>
        <w:t xml:space="preserve">heart failure </w:t>
      </w:r>
      <w:r w:rsidR="00E51349">
        <w:rPr>
          <w:b/>
          <w:lang w:val="en-US"/>
        </w:rPr>
        <w:t>and preserved ejection fraction?</w:t>
      </w:r>
    </w:p>
    <w:p w:rsidR="00F728F5" w:rsidRPr="00F728F5" w:rsidRDefault="00172583" w:rsidP="00F728F5">
      <w:pPr>
        <w:ind w:firstLine="709"/>
        <w:jc w:val="both"/>
        <w:rPr>
          <w:lang w:val="en-US"/>
        </w:rPr>
      </w:pPr>
      <w:r>
        <w:rPr>
          <w:lang w:val="en-US"/>
        </w:rPr>
        <w:t xml:space="preserve"> </w:t>
      </w:r>
      <w:r w:rsidR="00F728F5" w:rsidRPr="00F728F5">
        <w:rPr>
          <w:lang w:val="en-US"/>
        </w:rPr>
        <w:t xml:space="preserve">According to the multiple, </w:t>
      </w:r>
      <w:proofErr w:type="gramStart"/>
      <w:r w:rsidR="00F728F5" w:rsidRPr="00F728F5">
        <w:rPr>
          <w:lang w:val="en-US"/>
        </w:rPr>
        <w:t>studies atrial fibrillation (AF) is driven by the overlapping of inflammation, atrial remodeling, and oxidative stress that accompany obesity</w:t>
      </w:r>
      <w:proofErr w:type="gramEnd"/>
      <w:r w:rsidR="00F728F5" w:rsidRPr="00F728F5">
        <w:rPr>
          <w:lang w:val="en-US"/>
        </w:rPr>
        <w:t>, however the role of the left ventricle (LV) structure and function remains unclear in particularly this group of patients (pts).</w:t>
      </w:r>
    </w:p>
    <w:p w:rsidR="00F728F5" w:rsidRPr="00F728F5" w:rsidRDefault="00F728F5" w:rsidP="00F728F5">
      <w:pPr>
        <w:shd w:val="clear" w:color="auto" w:fill="FFFFFF"/>
        <w:spacing w:before="120" w:after="120" w:line="300" w:lineRule="atLeast"/>
        <w:outlineLvl w:val="0"/>
        <w:rPr>
          <w:lang w:val="en-US"/>
        </w:rPr>
      </w:pPr>
      <w:r w:rsidRPr="00F728F5">
        <w:rPr>
          <w:b/>
          <w:lang w:val="en-US"/>
        </w:rPr>
        <w:t>Purpose.</w:t>
      </w:r>
      <w:r w:rsidRPr="00F728F5">
        <w:rPr>
          <w:lang w:val="en-US"/>
        </w:rPr>
        <w:t xml:space="preserve"> To assess the impact of LV structure and function changes, on the development of AF in obese patients with heart failure and preserved ejection fraction (</w:t>
      </w:r>
      <w:proofErr w:type="spellStart"/>
      <w:r w:rsidRPr="00F728F5">
        <w:rPr>
          <w:lang w:val="en-US"/>
        </w:rPr>
        <w:t>HFpEF</w:t>
      </w:r>
      <w:proofErr w:type="spellEnd"/>
      <w:r w:rsidRPr="00F728F5">
        <w:rPr>
          <w:lang w:val="en-US"/>
        </w:rPr>
        <w:t>).</w:t>
      </w:r>
    </w:p>
    <w:p w:rsidR="00F728F5" w:rsidRPr="00F728F5" w:rsidRDefault="00F728F5" w:rsidP="00F728F5">
      <w:pPr>
        <w:shd w:val="clear" w:color="auto" w:fill="FFFFFF"/>
        <w:spacing w:before="120" w:after="120" w:line="300" w:lineRule="atLeast"/>
        <w:outlineLvl w:val="0"/>
        <w:rPr>
          <w:lang w:val="en-US"/>
        </w:rPr>
      </w:pPr>
      <w:r w:rsidRPr="00F728F5">
        <w:rPr>
          <w:b/>
          <w:lang w:val="en-US"/>
        </w:rPr>
        <w:t>Materials and methods.</w:t>
      </w:r>
      <w:r w:rsidRPr="00F728F5">
        <w:rPr>
          <w:lang w:val="en-US"/>
        </w:rPr>
        <w:t xml:space="preserve"> We examined pts with clinical signs and symptoms of </w:t>
      </w:r>
      <w:proofErr w:type="spellStart"/>
      <w:r w:rsidRPr="00F728F5">
        <w:rPr>
          <w:lang w:val="en-US"/>
        </w:rPr>
        <w:t>HFpEF</w:t>
      </w:r>
      <w:proofErr w:type="spellEnd"/>
      <w:r w:rsidRPr="00F728F5">
        <w:rPr>
          <w:lang w:val="en-US"/>
        </w:rPr>
        <w:t xml:space="preserve"> NYHA II-III; and divided them into 4 groups: 1st group (gr) - with body mass index (BMI) &lt; 30 kg/m2 and sinus rhythm (SR) and AF; 2nd – BMI ≥ 30 kg/m2 and SR; 3rd - BMI &lt; 30 kg/m2 and AF; 4th - BMI ≥ 30 kg/m2. Echocardiography with tissue Doppler </w:t>
      </w:r>
      <w:proofErr w:type="gramStart"/>
      <w:r w:rsidRPr="00F728F5">
        <w:rPr>
          <w:lang w:val="en-US"/>
        </w:rPr>
        <w:t>was performed</w:t>
      </w:r>
      <w:proofErr w:type="gramEnd"/>
      <w:r w:rsidRPr="00F728F5">
        <w:rPr>
          <w:lang w:val="en-US"/>
        </w:rPr>
        <w:t xml:space="preserve"> to all of pts, levels of N-terminal prohormone of brain natriuretic peptide) NT-</w:t>
      </w:r>
      <w:proofErr w:type="spellStart"/>
      <w:r w:rsidRPr="00F728F5">
        <w:rPr>
          <w:lang w:val="en-US"/>
        </w:rPr>
        <w:t>proBNP</w:t>
      </w:r>
      <w:proofErr w:type="spellEnd"/>
      <w:r w:rsidRPr="00F728F5">
        <w:rPr>
          <w:lang w:val="en-US"/>
        </w:rPr>
        <w:t xml:space="preserve"> were measured. Ventricular-arterial coupling (</w:t>
      </w:r>
      <w:proofErr w:type="spellStart"/>
      <w:r w:rsidRPr="00F728F5">
        <w:rPr>
          <w:lang w:val="en-US"/>
        </w:rPr>
        <w:t>Ea</w:t>
      </w:r>
      <w:proofErr w:type="spellEnd"/>
      <w:r w:rsidRPr="00F728F5">
        <w:rPr>
          <w:lang w:val="en-US"/>
        </w:rPr>
        <w:t>/</w:t>
      </w:r>
      <w:proofErr w:type="spellStart"/>
      <w:r w:rsidRPr="00F728F5">
        <w:rPr>
          <w:lang w:val="en-US"/>
        </w:rPr>
        <w:t>Es</w:t>
      </w:r>
      <w:proofErr w:type="spellEnd"/>
      <w:r w:rsidRPr="00F728F5">
        <w:rPr>
          <w:lang w:val="en-US"/>
        </w:rPr>
        <w:t xml:space="preserve">) was calculated using arterial and ventricle </w:t>
      </w:r>
      <w:proofErr w:type="spellStart"/>
      <w:r w:rsidRPr="00F728F5">
        <w:rPr>
          <w:lang w:val="en-US"/>
        </w:rPr>
        <w:t>elastance</w:t>
      </w:r>
      <w:proofErr w:type="spellEnd"/>
      <w:r w:rsidRPr="00F728F5">
        <w:rPr>
          <w:lang w:val="en-US"/>
        </w:rPr>
        <w:t xml:space="preserve"> ratio.</w:t>
      </w:r>
    </w:p>
    <w:p w:rsidR="00F728F5" w:rsidRPr="00F728F5" w:rsidRDefault="00F728F5" w:rsidP="00F728F5">
      <w:pPr>
        <w:shd w:val="clear" w:color="auto" w:fill="FFFFFF"/>
        <w:spacing w:before="120" w:after="120" w:line="300" w:lineRule="atLeast"/>
        <w:outlineLvl w:val="0"/>
        <w:rPr>
          <w:lang w:val="en-US"/>
        </w:rPr>
      </w:pPr>
      <w:r w:rsidRPr="00F728F5">
        <w:rPr>
          <w:b/>
          <w:lang w:val="en-US"/>
        </w:rPr>
        <w:t>Results.</w:t>
      </w:r>
      <w:r w:rsidRPr="00F728F5">
        <w:rPr>
          <w:lang w:val="en-US"/>
        </w:rPr>
        <w:t xml:space="preserve"> </w:t>
      </w:r>
      <w:proofErr w:type="gramStart"/>
      <w:r w:rsidRPr="00F728F5">
        <w:rPr>
          <w:lang w:val="en-US"/>
        </w:rPr>
        <w:t>87 pts (49 pts with SR and 38 pts with AF) formed 4 groups (30 vs 19 vs 19 vs 20 pts relatively) that didn’t differ (all p&gt;0,05) in age (66,7±9,9 vs 63,5±11,8 vs 68,4±13,4 vs 63,9±7,3), gender (19 (63,3%) vs 11 (55%) vs 15 (78,9%) vs 14 men (70%)), LV EF ( 56,6±6,6 vs 54,5±4,3 vs 55,2±4 vs 52,7±5,5) and had evenly distributed compensated non-cardiac comorbidities.</w:t>
      </w:r>
      <w:proofErr w:type="gramEnd"/>
      <w:r w:rsidRPr="00F728F5">
        <w:rPr>
          <w:lang w:val="en-US"/>
        </w:rPr>
        <w:t xml:space="preserve"> We obtained statistically significant differences in investigated parameters between patients with SR and AF, with more severe impairments in presence of latter together with obesity. The correlation between </w:t>
      </w:r>
      <w:proofErr w:type="spellStart"/>
      <w:r w:rsidRPr="00F728F5">
        <w:rPr>
          <w:lang w:val="en-US"/>
        </w:rPr>
        <w:t>Ea</w:t>
      </w:r>
      <w:proofErr w:type="spellEnd"/>
      <w:r w:rsidRPr="00F728F5">
        <w:rPr>
          <w:lang w:val="en-US"/>
        </w:rPr>
        <w:t>/</w:t>
      </w:r>
      <w:proofErr w:type="spellStart"/>
      <w:r w:rsidRPr="00F728F5">
        <w:rPr>
          <w:lang w:val="en-US"/>
        </w:rPr>
        <w:t>Es</w:t>
      </w:r>
      <w:proofErr w:type="spellEnd"/>
      <w:r w:rsidRPr="00F728F5">
        <w:rPr>
          <w:lang w:val="en-US"/>
        </w:rPr>
        <w:t xml:space="preserve"> and LAVI was found in the </w:t>
      </w:r>
      <w:proofErr w:type="gramStart"/>
      <w:r w:rsidRPr="00F728F5">
        <w:rPr>
          <w:lang w:val="en-US"/>
        </w:rPr>
        <w:t>3rd</w:t>
      </w:r>
      <w:proofErr w:type="gramEnd"/>
      <w:r w:rsidRPr="00F728F5">
        <w:rPr>
          <w:lang w:val="en-US"/>
        </w:rPr>
        <w:t xml:space="preserve"> and 4th gr, and between LVMMI and LAVI in the 4th gr. The results </w:t>
      </w:r>
      <w:proofErr w:type="gramStart"/>
      <w:r w:rsidRPr="00F728F5">
        <w:rPr>
          <w:lang w:val="en-US"/>
        </w:rPr>
        <w:t>are shown</w:t>
      </w:r>
      <w:proofErr w:type="gramEnd"/>
      <w:r w:rsidRPr="00F728F5">
        <w:rPr>
          <w:lang w:val="en-US"/>
        </w:rPr>
        <w:t xml:space="preserve"> in the table.</w:t>
      </w:r>
    </w:p>
    <w:p w:rsidR="00F728F5" w:rsidRPr="00CE4235" w:rsidRDefault="00F728F5" w:rsidP="00F728F5">
      <w:pPr>
        <w:shd w:val="clear" w:color="auto" w:fill="FFFFFF"/>
        <w:spacing w:before="120" w:after="120" w:line="300" w:lineRule="atLeast"/>
        <w:outlineLvl w:val="0"/>
        <w:rPr>
          <w:lang w:val="en-US"/>
        </w:rPr>
      </w:pPr>
      <w:r w:rsidRPr="00F728F5">
        <w:rPr>
          <w:b/>
          <w:lang w:val="en-US"/>
        </w:rPr>
        <w:t>Conclusions.</w:t>
      </w:r>
      <w:r w:rsidRPr="00F728F5">
        <w:rPr>
          <w:lang w:val="en-US"/>
        </w:rPr>
        <w:t xml:space="preserve"> </w:t>
      </w:r>
      <w:proofErr w:type="gramStart"/>
      <w:r w:rsidRPr="00F728F5">
        <w:rPr>
          <w:lang w:val="en-US"/>
        </w:rPr>
        <w:t xml:space="preserve">Obese patients with AF and </w:t>
      </w:r>
      <w:proofErr w:type="spellStart"/>
      <w:r w:rsidRPr="00F728F5">
        <w:rPr>
          <w:lang w:val="en-US"/>
        </w:rPr>
        <w:t>HFpEF</w:t>
      </w:r>
      <w:proofErr w:type="spellEnd"/>
      <w:r w:rsidRPr="00F728F5">
        <w:rPr>
          <w:lang w:val="en-US"/>
        </w:rPr>
        <w:t xml:space="preserve"> have more significant LV hypertrophy and impairment of LV diastolic function in comparison to patients with SR. Impaired ventricular-arterial coupling ratio inversely correlates with LAVI in pts with AF, independently on BMI and stroke volume index (SVI); and LVMMI directly correlates with LAVI in obese pts with AF, independently on SVI, that make it possible to assume the leading role of LV DD in development of AF in pts with </w:t>
      </w:r>
      <w:proofErr w:type="spellStart"/>
      <w:r w:rsidRPr="00F728F5">
        <w:rPr>
          <w:lang w:val="en-US"/>
        </w:rPr>
        <w:t>HFpEF</w:t>
      </w:r>
      <w:proofErr w:type="spellEnd"/>
      <w:r w:rsidRPr="00F728F5">
        <w:rPr>
          <w:lang w:val="en-US"/>
        </w:rPr>
        <w:t>.</w:t>
      </w:r>
      <w:proofErr w:type="gramEnd"/>
    </w:p>
    <w:p w:rsidR="00172583" w:rsidRDefault="00172583" w:rsidP="00F6785C">
      <w:pPr>
        <w:shd w:val="clear" w:color="auto" w:fill="FFFFFF"/>
        <w:spacing w:before="120" w:after="120" w:line="300" w:lineRule="atLeast"/>
        <w:outlineLvl w:val="0"/>
        <w:rPr>
          <w:lang w:val="en-US"/>
        </w:rPr>
      </w:pPr>
    </w:p>
    <w:tbl>
      <w:tblPr>
        <w:tblStyle w:val="a3"/>
        <w:tblW w:w="0" w:type="auto"/>
        <w:jc w:val="center"/>
        <w:tblLook w:val="04A0" w:firstRow="1" w:lastRow="0" w:firstColumn="1" w:lastColumn="0" w:noHBand="0" w:noVBand="1"/>
      </w:tblPr>
      <w:tblGrid>
        <w:gridCol w:w="1163"/>
        <w:gridCol w:w="1216"/>
        <w:gridCol w:w="1216"/>
        <w:gridCol w:w="1216"/>
        <w:gridCol w:w="1545"/>
        <w:gridCol w:w="1052"/>
      </w:tblGrid>
      <w:tr w:rsidR="00595AEB" w:rsidTr="00EC1A00">
        <w:trPr>
          <w:trHeight w:val="540"/>
          <w:jc w:val="center"/>
        </w:trPr>
        <w:tc>
          <w:tcPr>
            <w:tcW w:w="0" w:type="auto"/>
            <w:vAlign w:val="center"/>
          </w:tcPr>
          <w:p w:rsidR="00595AEB" w:rsidRDefault="00595AEB" w:rsidP="00595AEB">
            <w:pPr>
              <w:spacing w:before="120" w:after="120" w:line="300" w:lineRule="atLeast"/>
              <w:outlineLvl w:val="0"/>
              <w:rPr>
                <w:lang w:val="en-US"/>
              </w:rPr>
            </w:pPr>
            <w:r>
              <w:rPr>
                <w:lang w:val="en-US"/>
              </w:rPr>
              <w:t>Parameter</w:t>
            </w:r>
          </w:p>
        </w:tc>
        <w:tc>
          <w:tcPr>
            <w:tcW w:w="0" w:type="auto"/>
            <w:vAlign w:val="center"/>
          </w:tcPr>
          <w:p w:rsidR="00595AEB" w:rsidRDefault="00595AEB" w:rsidP="00595AEB">
            <w:pPr>
              <w:spacing w:before="120" w:after="120" w:line="300" w:lineRule="atLeast"/>
              <w:outlineLvl w:val="0"/>
              <w:rPr>
                <w:lang w:val="en-US"/>
              </w:rPr>
            </w:pPr>
            <w:r>
              <w:rPr>
                <w:lang w:val="en-US"/>
              </w:rPr>
              <w:t>Group 1</w:t>
            </w:r>
          </w:p>
        </w:tc>
        <w:tc>
          <w:tcPr>
            <w:tcW w:w="0" w:type="auto"/>
            <w:vAlign w:val="center"/>
          </w:tcPr>
          <w:p w:rsidR="00595AEB" w:rsidRDefault="00595AEB" w:rsidP="00595AEB">
            <w:pPr>
              <w:spacing w:before="120" w:after="120" w:line="300" w:lineRule="atLeast"/>
              <w:outlineLvl w:val="0"/>
              <w:rPr>
                <w:lang w:val="en-US"/>
              </w:rPr>
            </w:pPr>
            <w:r>
              <w:rPr>
                <w:lang w:val="en-US"/>
              </w:rPr>
              <w:t>Group2</w:t>
            </w:r>
          </w:p>
        </w:tc>
        <w:tc>
          <w:tcPr>
            <w:tcW w:w="0" w:type="auto"/>
            <w:vAlign w:val="center"/>
          </w:tcPr>
          <w:p w:rsidR="00595AEB" w:rsidRDefault="00595AEB" w:rsidP="00595AEB">
            <w:pPr>
              <w:spacing w:before="120" w:after="120" w:line="300" w:lineRule="atLeast"/>
              <w:outlineLvl w:val="0"/>
              <w:rPr>
                <w:lang w:val="en-US"/>
              </w:rPr>
            </w:pPr>
            <w:r>
              <w:rPr>
                <w:lang w:val="en-US"/>
              </w:rPr>
              <w:t>Group 3</w:t>
            </w:r>
          </w:p>
        </w:tc>
        <w:tc>
          <w:tcPr>
            <w:tcW w:w="0" w:type="auto"/>
            <w:vAlign w:val="center"/>
          </w:tcPr>
          <w:p w:rsidR="00595AEB" w:rsidRDefault="00595AEB" w:rsidP="00595AEB">
            <w:pPr>
              <w:spacing w:before="120" w:after="120" w:line="300" w:lineRule="atLeast"/>
              <w:outlineLvl w:val="0"/>
              <w:rPr>
                <w:lang w:val="en-US"/>
              </w:rPr>
            </w:pPr>
            <w:r>
              <w:rPr>
                <w:lang w:val="en-US"/>
              </w:rPr>
              <w:t>Group 4</w:t>
            </w:r>
          </w:p>
        </w:tc>
        <w:tc>
          <w:tcPr>
            <w:tcW w:w="0" w:type="auto"/>
            <w:vAlign w:val="center"/>
          </w:tcPr>
          <w:p w:rsidR="00595AEB" w:rsidRPr="00C3363F" w:rsidRDefault="00595AEB" w:rsidP="00595AEB">
            <w:pPr>
              <w:spacing w:before="120" w:after="120" w:line="300" w:lineRule="atLeast"/>
              <w:outlineLvl w:val="0"/>
              <w:rPr>
                <w:lang w:val="en-US"/>
              </w:rPr>
            </w:pPr>
            <w:r>
              <w:rPr>
                <w:lang w:val="en-US"/>
              </w:rPr>
              <w:t>P value</w:t>
            </w:r>
          </w:p>
        </w:tc>
      </w:tr>
      <w:tr w:rsidR="00595AEB" w:rsidTr="00EC1A00">
        <w:trPr>
          <w:trHeight w:val="540"/>
          <w:jc w:val="center"/>
        </w:trPr>
        <w:tc>
          <w:tcPr>
            <w:tcW w:w="0" w:type="auto"/>
            <w:vAlign w:val="center"/>
          </w:tcPr>
          <w:p w:rsidR="00595AEB" w:rsidRDefault="00595AEB" w:rsidP="00595AEB">
            <w:pPr>
              <w:spacing w:before="120" w:after="120" w:line="300" w:lineRule="atLeast"/>
              <w:outlineLvl w:val="0"/>
              <w:rPr>
                <w:lang w:val="en-US"/>
              </w:rPr>
            </w:pPr>
            <w:r>
              <w:rPr>
                <w:lang w:val="en-US"/>
              </w:rPr>
              <w:t>LAVI</w:t>
            </w:r>
          </w:p>
        </w:tc>
        <w:tc>
          <w:tcPr>
            <w:tcW w:w="0" w:type="auto"/>
            <w:vAlign w:val="center"/>
          </w:tcPr>
          <w:p w:rsidR="00595AEB" w:rsidRPr="00716F7E" w:rsidRDefault="00595AEB" w:rsidP="00595AEB">
            <w:pPr>
              <w:spacing w:before="120" w:after="120" w:line="300" w:lineRule="atLeast"/>
              <w:outlineLvl w:val="0"/>
              <w:rPr>
                <w:lang w:val="uk-UA"/>
              </w:rPr>
            </w:pPr>
            <w:r>
              <w:rPr>
                <w:lang w:val="en-US"/>
              </w:rPr>
              <w:t>38</w:t>
            </w:r>
            <w:r>
              <w:rPr>
                <w:lang w:val="uk-UA"/>
              </w:rPr>
              <w:t>,3</w:t>
            </w:r>
            <w:r>
              <w:rPr>
                <w:rFonts w:cstheme="minorHAnsi"/>
                <w:lang w:val="uk-UA"/>
              </w:rPr>
              <w:t>±</w:t>
            </w:r>
            <w:r>
              <w:rPr>
                <w:lang w:val="uk-UA"/>
              </w:rPr>
              <w:t>4,1</w:t>
            </w:r>
          </w:p>
        </w:tc>
        <w:tc>
          <w:tcPr>
            <w:tcW w:w="0" w:type="auto"/>
            <w:vAlign w:val="center"/>
          </w:tcPr>
          <w:p w:rsidR="00595AEB" w:rsidRPr="00716F7E" w:rsidRDefault="00595AEB" w:rsidP="00595AEB">
            <w:pPr>
              <w:spacing w:before="120" w:after="120" w:line="300" w:lineRule="atLeast"/>
              <w:outlineLvl w:val="0"/>
              <w:rPr>
                <w:lang w:val="uk-UA"/>
              </w:rPr>
            </w:pPr>
            <w:r>
              <w:rPr>
                <w:lang w:val="en-US"/>
              </w:rPr>
              <w:t>41</w:t>
            </w:r>
            <w:r>
              <w:rPr>
                <w:lang w:val="uk-UA"/>
              </w:rPr>
              <w:t>,2</w:t>
            </w:r>
            <w:r>
              <w:rPr>
                <w:rFonts w:cstheme="minorHAnsi"/>
                <w:lang w:val="uk-UA"/>
              </w:rPr>
              <w:t>±5</w:t>
            </w:r>
            <w:r>
              <w:rPr>
                <w:lang w:val="uk-UA"/>
              </w:rPr>
              <w:t>,3</w:t>
            </w:r>
          </w:p>
        </w:tc>
        <w:tc>
          <w:tcPr>
            <w:tcW w:w="0" w:type="auto"/>
            <w:vAlign w:val="center"/>
          </w:tcPr>
          <w:p w:rsidR="00595AEB" w:rsidRPr="00716F7E" w:rsidRDefault="00595AEB" w:rsidP="00595AEB">
            <w:pPr>
              <w:spacing w:before="120" w:after="120" w:line="300" w:lineRule="atLeast"/>
              <w:outlineLvl w:val="0"/>
              <w:rPr>
                <w:lang w:val="uk-UA"/>
              </w:rPr>
            </w:pPr>
            <w:r>
              <w:rPr>
                <w:lang w:val="en-US"/>
              </w:rPr>
              <w:t>52</w:t>
            </w:r>
            <w:r>
              <w:rPr>
                <w:lang w:val="uk-UA"/>
              </w:rPr>
              <w:t>,2</w:t>
            </w:r>
            <w:r>
              <w:rPr>
                <w:rFonts w:cstheme="minorHAnsi"/>
                <w:lang w:val="uk-UA"/>
              </w:rPr>
              <w:t>±</w:t>
            </w:r>
            <w:r>
              <w:rPr>
                <w:lang w:val="uk-UA"/>
              </w:rPr>
              <w:t>7,4</w:t>
            </w:r>
          </w:p>
        </w:tc>
        <w:tc>
          <w:tcPr>
            <w:tcW w:w="0" w:type="auto"/>
            <w:vAlign w:val="center"/>
          </w:tcPr>
          <w:p w:rsidR="00595AEB" w:rsidRPr="00675A35" w:rsidRDefault="00595AEB" w:rsidP="00595AEB">
            <w:pPr>
              <w:spacing w:before="120" w:after="120" w:line="300" w:lineRule="atLeast"/>
              <w:outlineLvl w:val="0"/>
              <w:rPr>
                <w:lang w:val="en-US"/>
              </w:rPr>
            </w:pPr>
            <w:r>
              <w:rPr>
                <w:lang w:val="en-US"/>
              </w:rPr>
              <w:t>44</w:t>
            </w:r>
            <w:r>
              <w:rPr>
                <w:lang w:val="uk-UA"/>
              </w:rPr>
              <w:t>,8</w:t>
            </w:r>
            <w:r>
              <w:rPr>
                <w:rFonts w:cstheme="minorHAnsi"/>
                <w:lang w:val="uk-UA"/>
              </w:rPr>
              <w:t>±</w:t>
            </w:r>
            <w:r>
              <w:rPr>
                <w:lang w:val="uk-UA"/>
              </w:rPr>
              <w:t>9,7</w:t>
            </w:r>
          </w:p>
        </w:tc>
        <w:tc>
          <w:tcPr>
            <w:tcW w:w="0" w:type="auto"/>
            <w:vAlign w:val="center"/>
          </w:tcPr>
          <w:p w:rsidR="00595AEB" w:rsidRPr="002B2827" w:rsidRDefault="00595AEB" w:rsidP="00595AEB">
            <w:pPr>
              <w:spacing w:before="120" w:after="120" w:line="300" w:lineRule="atLeast"/>
              <w:outlineLvl w:val="0"/>
              <w:rPr>
                <w:lang w:val="en-US"/>
              </w:rPr>
            </w:pPr>
            <w:r w:rsidRPr="009E697A">
              <w:rPr>
                <w:lang w:val="en-US"/>
              </w:rPr>
              <w:t>p&lt;0,001</w:t>
            </w:r>
            <w:r>
              <w:rPr>
                <w:lang w:val="en-US"/>
              </w:rPr>
              <w:t>#</w:t>
            </w:r>
          </w:p>
        </w:tc>
      </w:tr>
      <w:tr w:rsidR="00595AEB" w:rsidTr="00EC1A00">
        <w:trPr>
          <w:trHeight w:val="540"/>
          <w:jc w:val="center"/>
        </w:trPr>
        <w:tc>
          <w:tcPr>
            <w:tcW w:w="0" w:type="auto"/>
            <w:vAlign w:val="center"/>
          </w:tcPr>
          <w:p w:rsidR="00595AEB" w:rsidRDefault="00595AEB" w:rsidP="00595AEB">
            <w:pPr>
              <w:spacing w:before="120" w:after="120" w:line="300" w:lineRule="atLeast"/>
              <w:outlineLvl w:val="0"/>
              <w:rPr>
                <w:lang w:val="en-US"/>
              </w:rPr>
            </w:pPr>
            <w:r>
              <w:rPr>
                <w:lang w:val="en-US"/>
              </w:rPr>
              <w:t>SVI</w:t>
            </w:r>
          </w:p>
        </w:tc>
        <w:tc>
          <w:tcPr>
            <w:tcW w:w="0" w:type="auto"/>
            <w:vAlign w:val="center"/>
          </w:tcPr>
          <w:p w:rsidR="00595AEB" w:rsidRDefault="00595AEB" w:rsidP="00595AEB">
            <w:pPr>
              <w:spacing w:before="120" w:after="120" w:line="300" w:lineRule="atLeast"/>
              <w:outlineLvl w:val="0"/>
              <w:rPr>
                <w:lang w:val="en-US"/>
              </w:rPr>
            </w:pPr>
            <w:r>
              <w:rPr>
                <w:lang w:val="uk-UA"/>
              </w:rPr>
              <w:t>39,9</w:t>
            </w:r>
            <w:r>
              <w:rPr>
                <w:rFonts w:cstheme="minorHAnsi"/>
                <w:lang w:val="uk-UA"/>
              </w:rPr>
              <w:t>±</w:t>
            </w:r>
            <w:r>
              <w:rPr>
                <w:lang w:val="uk-UA"/>
              </w:rPr>
              <w:t>5,4</w:t>
            </w:r>
          </w:p>
        </w:tc>
        <w:tc>
          <w:tcPr>
            <w:tcW w:w="0" w:type="auto"/>
            <w:vAlign w:val="center"/>
          </w:tcPr>
          <w:p w:rsidR="00595AEB" w:rsidRDefault="00595AEB" w:rsidP="00595AEB">
            <w:pPr>
              <w:spacing w:before="120" w:after="120" w:line="300" w:lineRule="atLeast"/>
              <w:outlineLvl w:val="0"/>
              <w:rPr>
                <w:lang w:val="en-US"/>
              </w:rPr>
            </w:pPr>
            <w:r>
              <w:rPr>
                <w:lang w:val="en-US"/>
              </w:rPr>
              <w:t>4</w:t>
            </w:r>
            <w:r>
              <w:rPr>
                <w:lang w:val="uk-UA"/>
              </w:rPr>
              <w:t>0,6</w:t>
            </w:r>
            <w:r>
              <w:rPr>
                <w:rFonts w:cstheme="minorHAnsi"/>
                <w:lang w:val="uk-UA"/>
              </w:rPr>
              <w:t>±4</w:t>
            </w:r>
            <w:r>
              <w:rPr>
                <w:lang w:val="uk-UA"/>
              </w:rPr>
              <w:t>,7</w:t>
            </w:r>
          </w:p>
        </w:tc>
        <w:tc>
          <w:tcPr>
            <w:tcW w:w="0" w:type="auto"/>
            <w:vAlign w:val="center"/>
          </w:tcPr>
          <w:p w:rsidR="00595AEB" w:rsidRPr="00086F9F" w:rsidRDefault="00595AEB" w:rsidP="00595AEB">
            <w:pPr>
              <w:spacing w:before="120" w:after="120" w:line="300" w:lineRule="atLeast"/>
              <w:outlineLvl w:val="0"/>
              <w:rPr>
                <w:lang w:val="en-US"/>
              </w:rPr>
            </w:pPr>
            <w:r>
              <w:rPr>
                <w:lang w:val="en-US"/>
              </w:rPr>
              <w:t>37</w:t>
            </w:r>
            <w:r>
              <w:rPr>
                <w:lang w:val="uk-UA"/>
              </w:rPr>
              <w:t>,4</w:t>
            </w:r>
            <w:r>
              <w:rPr>
                <w:rFonts w:cstheme="minorHAnsi"/>
                <w:lang w:val="uk-UA"/>
              </w:rPr>
              <w:t>±</w:t>
            </w:r>
            <w:r>
              <w:rPr>
                <w:lang w:val="uk-UA"/>
              </w:rPr>
              <w:t>13,2</w:t>
            </w:r>
            <w:r>
              <w:rPr>
                <w:lang w:val="en-US"/>
              </w:rPr>
              <w:t>*</w:t>
            </w:r>
          </w:p>
        </w:tc>
        <w:tc>
          <w:tcPr>
            <w:tcW w:w="0" w:type="auto"/>
            <w:vAlign w:val="center"/>
          </w:tcPr>
          <w:p w:rsidR="00595AEB" w:rsidRPr="00086F9F" w:rsidRDefault="00595AEB" w:rsidP="00595AEB">
            <w:pPr>
              <w:spacing w:before="120" w:after="120" w:line="300" w:lineRule="atLeast"/>
              <w:outlineLvl w:val="0"/>
              <w:rPr>
                <w:lang w:val="en-US"/>
              </w:rPr>
            </w:pPr>
            <w:r>
              <w:rPr>
                <w:lang w:val="en-US"/>
              </w:rPr>
              <w:t>43</w:t>
            </w:r>
            <w:r>
              <w:rPr>
                <w:lang w:val="uk-UA"/>
              </w:rPr>
              <w:t>,3</w:t>
            </w:r>
            <w:r>
              <w:rPr>
                <w:rFonts w:cstheme="minorHAnsi"/>
                <w:lang w:val="uk-UA"/>
              </w:rPr>
              <w:t>±</w:t>
            </w:r>
            <w:r>
              <w:rPr>
                <w:lang w:val="uk-UA"/>
              </w:rPr>
              <w:t>7,4</w:t>
            </w:r>
            <w:r>
              <w:rPr>
                <w:lang w:val="en-US"/>
              </w:rPr>
              <w:t>**</w:t>
            </w:r>
          </w:p>
        </w:tc>
        <w:tc>
          <w:tcPr>
            <w:tcW w:w="0" w:type="auto"/>
            <w:vAlign w:val="center"/>
          </w:tcPr>
          <w:p w:rsidR="00595AEB" w:rsidRDefault="00595AEB" w:rsidP="00595AEB">
            <w:r w:rsidRPr="005E27CA">
              <w:rPr>
                <w:lang w:val="en-US"/>
              </w:rPr>
              <w:t>p&lt;0,05</w:t>
            </w:r>
          </w:p>
        </w:tc>
      </w:tr>
      <w:tr w:rsidR="00595AEB" w:rsidTr="00EC1A00">
        <w:trPr>
          <w:trHeight w:val="540"/>
          <w:jc w:val="center"/>
        </w:trPr>
        <w:tc>
          <w:tcPr>
            <w:tcW w:w="0" w:type="auto"/>
            <w:vAlign w:val="center"/>
          </w:tcPr>
          <w:p w:rsidR="00595AEB" w:rsidRDefault="00595AEB" w:rsidP="00595AEB">
            <w:pPr>
              <w:spacing w:before="120" w:after="120" w:line="300" w:lineRule="atLeast"/>
              <w:outlineLvl w:val="0"/>
              <w:rPr>
                <w:lang w:val="en-US"/>
              </w:rPr>
            </w:pPr>
            <w:r>
              <w:rPr>
                <w:lang w:val="en-US"/>
              </w:rPr>
              <w:t>LVMMI</w:t>
            </w:r>
          </w:p>
        </w:tc>
        <w:tc>
          <w:tcPr>
            <w:tcW w:w="0" w:type="auto"/>
            <w:vAlign w:val="center"/>
          </w:tcPr>
          <w:p w:rsidR="00595AEB" w:rsidRPr="00675A35" w:rsidRDefault="00595AEB" w:rsidP="00595AEB">
            <w:pPr>
              <w:spacing w:before="120" w:after="120" w:line="300" w:lineRule="atLeast"/>
              <w:outlineLvl w:val="0"/>
              <w:rPr>
                <w:lang w:val="en-US"/>
              </w:rPr>
            </w:pPr>
            <w:r>
              <w:rPr>
                <w:lang w:val="en-US"/>
              </w:rPr>
              <w:t>155</w:t>
            </w:r>
            <w:r>
              <w:rPr>
                <w:lang w:val="uk-UA"/>
              </w:rPr>
              <w:t>,3</w:t>
            </w:r>
            <w:r>
              <w:rPr>
                <w:rFonts w:cstheme="minorHAnsi"/>
                <w:lang w:val="uk-UA"/>
              </w:rPr>
              <w:t>±</w:t>
            </w:r>
            <w:r>
              <w:rPr>
                <w:lang w:val="uk-UA"/>
              </w:rPr>
              <w:t>22,</w:t>
            </w:r>
            <w:r>
              <w:rPr>
                <w:lang w:val="en-US"/>
              </w:rPr>
              <w:t>9</w:t>
            </w:r>
          </w:p>
        </w:tc>
        <w:tc>
          <w:tcPr>
            <w:tcW w:w="0" w:type="auto"/>
            <w:vAlign w:val="center"/>
          </w:tcPr>
          <w:p w:rsidR="00595AEB" w:rsidRPr="00D22585" w:rsidRDefault="00595AEB" w:rsidP="00595AEB">
            <w:pPr>
              <w:spacing w:before="120" w:after="120" w:line="300" w:lineRule="atLeast"/>
              <w:outlineLvl w:val="0"/>
            </w:pPr>
            <w:r>
              <w:rPr>
                <w:lang w:val="en-US"/>
              </w:rPr>
              <w:t>157</w:t>
            </w:r>
            <w:r>
              <w:rPr>
                <w:lang w:val="uk-UA"/>
              </w:rPr>
              <w:t>,</w:t>
            </w:r>
            <w:r>
              <w:rPr>
                <w:lang w:val="en-US"/>
              </w:rPr>
              <w:t>1</w:t>
            </w:r>
            <w:r>
              <w:rPr>
                <w:rFonts w:cstheme="minorHAnsi"/>
                <w:lang w:val="uk-UA"/>
              </w:rPr>
              <w:t>±</w:t>
            </w:r>
            <w:r>
              <w:rPr>
                <w:lang w:val="uk-UA"/>
              </w:rPr>
              <w:t>26,</w:t>
            </w:r>
            <w:r>
              <w:rPr>
                <w:lang w:val="en-US"/>
              </w:rPr>
              <w:t>5</w:t>
            </w:r>
          </w:p>
        </w:tc>
        <w:tc>
          <w:tcPr>
            <w:tcW w:w="0" w:type="auto"/>
            <w:vAlign w:val="center"/>
          </w:tcPr>
          <w:p w:rsidR="00595AEB" w:rsidRPr="00675A35" w:rsidRDefault="00595AEB" w:rsidP="00595AEB">
            <w:pPr>
              <w:spacing w:before="120" w:after="120" w:line="300" w:lineRule="atLeast"/>
              <w:outlineLvl w:val="0"/>
              <w:rPr>
                <w:lang w:val="en-US"/>
              </w:rPr>
            </w:pPr>
            <w:r>
              <w:rPr>
                <w:lang w:val="en-US"/>
              </w:rPr>
              <w:t>160</w:t>
            </w:r>
            <w:r>
              <w:rPr>
                <w:lang w:val="uk-UA"/>
              </w:rPr>
              <w:t>,</w:t>
            </w:r>
            <w:r>
              <w:rPr>
                <w:lang w:val="en-US"/>
              </w:rPr>
              <w:t>1</w:t>
            </w:r>
            <w:r>
              <w:rPr>
                <w:rFonts w:cstheme="minorHAnsi"/>
                <w:lang w:val="uk-UA"/>
              </w:rPr>
              <w:t>±</w:t>
            </w:r>
            <w:r>
              <w:rPr>
                <w:lang w:val="uk-UA"/>
              </w:rPr>
              <w:t>2</w:t>
            </w:r>
            <w:r>
              <w:rPr>
                <w:lang w:val="en-US"/>
              </w:rPr>
              <w:t>6</w:t>
            </w:r>
            <w:r>
              <w:rPr>
                <w:lang w:val="uk-UA"/>
              </w:rPr>
              <w:t>,</w:t>
            </w:r>
            <w:r>
              <w:rPr>
                <w:lang w:val="en-US"/>
              </w:rPr>
              <w:t>7</w:t>
            </w:r>
          </w:p>
        </w:tc>
        <w:tc>
          <w:tcPr>
            <w:tcW w:w="0" w:type="auto"/>
            <w:vAlign w:val="center"/>
          </w:tcPr>
          <w:p w:rsidR="00595AEB" w:rsidRPr="0009015D" w:rsidRDefault="00595AEB" w:rsidP="00595AEB">
            <w:pPr>
              <w:spacing w:before="120" w:after="120" w:line="300" w:lineRule="atLeast"/>
              <w:outlineLvl w:val="0"/>
            </w:pPr>
            <w:r>
              <w:rPr>
                <w:lang w:val="en-US"/>
              </w:rPr>
              <w:t>178</w:t>
            </w:r>
            <w:r>
              <w:rPr>
                <w:lang w:val="uk-UA"/>
              </w:rPr>
              <w:t>,</w:t>
            </w:r>
            <w:r>
              <w:rPr>
                <w:lang w:val="en-US"/>
              </w:rPr>
              <w:t>8</w:t>
            </w:r>
            <w:r>
              <w:rPr>
                <w:rFonts w:cstheme="minorHAnsi"/>
                <w:lang w:val="uk-UA"/>
              </w:rPr>
              <w:t>±</w:t>
            </w:r>
            <w:r>
              <w:rPr>
                <w:rFonts w:cstheme="minorHAnsi"/>
                <w:lang w:val="en-US"/>
              </w:rPr>
              <w:t>35</w:t>
            </w:r>
            <w:r>
              <w:rPr>
                <w:lang w:val="uk-UA"/>
              </w:rPr>
              <w:t>,</w:t>
            </w:r>
            <w:r>
              <w:rPr>
                <w:lang w:val="en-US"/>
              </w:rPr>
              <w:t>6**</w:t>
            </w:r>
            <w:r>
              <w:rPr>
                <w:rFonts w:cstheme="minorHAnsi"/>
                <w:lang w:val="en-US"/>
              </w:rPr>
              <w:t>§</w:t>
            </w:r>
          </w:p>
        </w:tc>
        <w:tc>
          <w:tcPr>
            <w:tcW w:w="0" w:type="auto"/>
            <w:vAlign w:val="center"/>
          </w:tcPr>
          <w:p w:rsidR="00595AEB" w:rsidRDefault="00595AEB" w:rsidP="00595AEB">
            <w:r w:rsidRPr="005E27CA">
              <w:rPr>
                <w:lang w:val="en-US"/>
              </w:rPr>
              <w:t>p&lt;0,05</w:t>
            </w:r>
          </w:p>
        </w:tc>
      </w:tr>
      <w:tr w:rsidR="00595AEB" w:rsidTr="00EC1A00">
        <w:trPr>
          <w:trHeight w:val="540"/>
          <w:jc w:val="center"/>
        </w:trPr>
        <w:tc>
          <w:tcPr>
            <w:tcW w:w="0" w:type="auto"/>
            <w:vAlign w:val="center"/>
          </w:tcPr>
          <w:p w:rsidR="00595AEB" w:rsidRDefault="00595AEB" w:rsidP="00595AEB">
            <w:pPr>
              <w:spacing w:before="120" w:after="120" w:line="300" w:lineRule="atLeast"/>
              <w:outlineLvl w:val="0"/>
              <w:rPr>
                <w:lang w:val="en-US"/>
              </w:rPr>
            </w:pPr>
            <w:proofErr w:type="spellStart"/>
            <w:r>
              <w:rPr>
                <w:lang w:val="en-US"/>
              </w:rPr>
              <w:t>Ea</w:t>
            </w:r>
            <w:proofErr w:type="spellEnd"/>
            <w:r>
              <w:rPr>
                <w:lang w:val="en-US"/>
              </w:rPr>
              <w:t>/</w:t>
            </w:r>
            <w:proofErr w:type="spellStart"/>
            <w:r>
              <w:rPr>
                <w:lang w:val="en-US"/>
              </w:rPr>
              <w:t>Es</w:t>
            </w:r>
            <w:proofErr w:type="spellEnd"/>
          </w:p>
        </w:tc>
        <w:tc>
          <w:tcPr>
            <w:tcW w:w="0" w:type="auto"/>
            <w:vAlign w:val="center"/>
          </w:tcPr>
          <w:p w:rsidR="00595AEB" w:rsidRDefault="00595AEB" w:rsidP="00595AEB">
            <w:pPr>
              <w:spacing w:before="120" w:after="120" w:line="300" w:lineRule="atLeast"/>
              <w:outlineLvl w:val="0"/>
            </w:pPr>
            <w:r>
              <w:rPr>
                <w:lang w:val="en-US"/>
              </w:rPr>
              <w:t>0,75</w:t>
            </w:r>
            <w:r w:rsidRPr="00CA51BE">
              <w:rPr>
                <w:rFonts w:cstheme="minorHAnsi"/>
                <w:lang w:val="uk-UA"/>
              </w:rPr>
              <w:t>±</w:t>
            </w:r>
            <w:r>
              <w:rPr>
                <w:lang w:val="uk-UA"/>
              </w:rPr>
              <w:t>0</w:t>
            </w:r>
            <w:r w:rsidRPr="00CA51BE">
              <w:rPr>
                <w:lang w:val="uk-UA"/>
              </w:rPr>
              <w:t>,</w:t>
            </w:r>
            <w:r>
              <w:rPr>
                <w:lang w:val="en-US"/>
              </w:rPr>
              <w:t>21</w:t>
            </w:r>
          </w:p>
        </w:tc>
        <w:tc>
          <w:tcPr>
            <w:tcW w:w="0" w:type="auto"/>
            <w:vAlign w:val="center"/>
          </w:tcPr>
          <w:p w:rsidR="00595AEB" w:rsidRDefault="00595AEB" w:rsidP="00595AEB">
            <w:pPr>
              <w:spacing w:before="120" w:after="120" w:line="300" w:lineRule="atLeast"/>
              <w:outlineLvl w:val="0"/>
            </w:pPr>
            <w:r>
              <w:rPr>
                <w:lang w:val="en-US"/>
              </w:rPr>
              <w:t>0,75</w:t>
            </w:r>
            <w:r w:rsidRPr="00CA51BE">
              <w:rPr>
                <w:rFonts w:cstheme="minorHAnsi"/>
                <w:lang w:val="uk-UA"/>
              </w:rPr>
              <w:t>±</w:t>
            </w:r>
            <w:r>
              <w:rPr>
                <w:lang w:val="uk-UA"/>
              </w:rPr>
              <w:t>0</w:t>
            </w:r>
            <w:r w:rsidRPr="00CA51BE">
              <w:rPr>
                <w:lang w:val="uk-UA"/>
              </w:rPr>
              <w:t>,</w:t>
            </w:r>
            <w:r>
              <w:rPr>
                <w:lang w:val="en-US"/>
              </w:rPr>
              <w:t>12</w:t>
            </w:r>
          </w:p>
        </w:tc>
        <w:tc>
          <w:tcPr>
            <w:tcW w:w="0" w:type="auto"/>
            <w:vAlign w:val="center"/>
          </w:tcPr>
          <w:p w:rsidR="00595AEB" w:rsidRPr="00B239DD" w:rsidRDefault="00595AEB" w:rsidP="00595AEB">
            <w:pPr>
              <w:rPr>
                <w:lang w:val="en-US"/>
              </w:rPr>
            </w:pPr>
            <w:r>
              <w:rPr>
                <w:lang w:val="en-US"/>
              </w:rPr>
              <w:t>0,85</w:t>
            </w:r>
            <w:r w:rsidRPr="00CA51BE">
              <w:rPr>
                <w:rFonts w:cstheme="minorHAnsi"/>
                <w:lang w:val="uk-UA"/>
              </w:rPr>
              <w:t>±</w:t>
            </w:r>
            <w:r>
              <w:rPr>
                <w:lang w:val="uk-UA"/>
              </w:rPr>
              <w:t>0</w:t>
            </w:r>
            <w:r w:rsidRPr="00CA51BE">
              <w:rPr>
                <w:lang w:val="uk-UA"/>
              </w:rPr>
              <w:t>,</w:t>
            </w:r>
            <w:r>
              <w:rPr>
                <w:lang w:val="en-US"/>
              </w:rPr>
              <w:t>25</w:t>
            </w:r>
            <w:r>
              <w:rPr>
                <w:rFonts w:cstheme="minorHAnsi"/>
                <w:lang w:val="en-US"/>
              </w:rPr>
              <w:t>§</w:t>
            </w:r>
          </w:p>
        </w:tc>
        <w:tc>
          <w:tcPr>
            <w:tcW w:w="0" w:type="auto"/>
            <w:vAlign w:val="center"/>
          </w:tcPr>
          <w:p w:rsidR="00595AEB" w:rsidRPr="00B239DD" w:rsidRDefault="00595AEB" w:rsidP="00595AEB">
            <w:pPr>
              <w:rPr>
                <w:lang w:val="en-US"/>
              </w:rPr>
            </w:pPr>
            <w:r>
              <w:rPr>
                <w:lang w:val="en-US"/>
              </w:rPr>
              <w:t>0,86</w:t>
            </w:r>
            <w:r w:rsidRPr="00CA51BE">
              <w:rPr>
                <w:rFonts w:cstheme="minorHAnsi"/>
                <w:lang w:val="uk-UA"/>
              </w:rPr>
              <w:t>±</w:t>
            </w:r>
            <w:r>
              <w:rPr>
                <w:rFonts w:cstheme="minorHAnsi"/>
                <w:lang w:val="en-US"/>
              </w:rPr>
              <w:t>0</w:t>
            </w:r>
            <w:r w:rsidRPr="00CA51BE">
              <w:rPr>
                <w:lang w:val="uk-UA"/>
              </w:rPr>
              <w:t>,</w:t>
            </w:r>
            <w:r>
              <w:rPr>
                <w:lang w:val="en-US"/>
              </w:rPr>
              <w:t>21**</w:t>
            </w:r>
            <w:r>
              <w:rPr>
                <w:rFonts w:cstheme="minorHAnsi"/>
                <w:lang w:val="en-US"/>
              </w:rPr>
              <w:t>§</w:t>
            </w:r>
          </w:p>
        </w:tc>
        <w:tc>
          <w:tcPr>
            <w:tcW w:w="0" w:type="auto"/>
            <w:vAlign w:val="center"/>
          </w:tcPr>
          <w:p w:rsidR="00595AEB" w:rsidRDefault="00595AEB" w:rsidP="00595AEB">
            <w:pPr>
              <w:spacing w:before="120" w:after="120" w:line="300" w:lineRule="atLeast"/>
              <w:outlineLvl w:val="0"/>
              <w:rPr>
                <w:lang w:val="en-US"/>
              </w:rPr>
            </w:pPr>
            <w:r w:rsidRPr="009E697A">
              <w:rPr>
                <w:lang w:val="en-US"/>
              </w:rPr>
              <w:t>p&lt;0,0</w:t>
            </w:r>
            <w:r>
              <w:rPr>
                <w:lang w:val="en-US"/>
              </w:rPr>
              <w:t>5</w:t>
            </w:r>
          </w:p>
        </w:tc>
      </w:tr>
    </w:tbl>
    <w:p w:rsidR="00086F9F" w:rsidRDefault="00086F9F" w:rsidP="00F6785C">
      <w:pPr>
        <w:shd w:val="clear" w:color="auto" w:fill="FFFFFF"/>
        <w:spacing w:before="120" w:after="120" w:line="300" w:lineRule="atLeast"/>
        <w:outlineLvl w:val="0"/>
        <w:rPr>
          <w:lang w:val="en-US"/>
        </w:rPr>
      </w:pPr>
      <w:r>
        <w:rPr>
          <w:lang w:val="en-US"/>
        </w:rPr>
        <w:t>*-</w:t>
      </w:r>
      <w:r w:rsidR="009F63AC">
        <w:rPr>
          <w:lang w:val="en-US"/>
        </w:rPr>
        <w:t xml:space="preserve"> differences with gr 1 are </w:t>
      </w:r>
      <w:proofErr w:type="spellStart"/>
      <w:r w:rsidR="009F63AC">
        <w:rPr>
          <w:lang w:val="en-US"/>
        </w:rPr>
        <w:t>statisticaly</w:t>
      </w:r>
      <w:proofErr w:type="spellEnd"/>
      <w:r w:rsidR="009F63AC">
        <w:rPr>
          <w:lang w:val="en-US"/>
        </w:rPr>
        <w:t xml:space="preserve"> significant</w:t>
      </w:r>
      <w:r>
        <w:rPr>
          <w:lang w:val="en-US"/>
        </w:rPr>
        <w:t>; **-</w:t>
      </w:r>
      <w:r w:rsidR="009F63AC" w:rsidRPr="009F63AC">
        <w:rPr>
          <w:lang w:val="en-US"/>
        </w:rPr>
        <w:t xml:space="preserve"> </w:t>
      </w:r>
      <w:r w:rsidR="009F63AC">
        <w:rPr>
          <w:lang w:val="en-US"/>
        </w:rPr>
        <w:t>with gr 2</w:t>
      </w:r>
      <w:r w:rsidR="0062116A">
        <w:rPr>
          <w:lang w:val="en-US"/>
        </w:rPr>
        <w:t>; ***-</w:t>
      </w:r>
      <w:r w:rsidR="009F63AC" w:rsidRPr="009F63AC">
        <w:rPr>
          <w:lang w:val="en-US"/>
        </w:rPr>
        <w:t xml:space="preserve"> </w:t>
      </w:r>
      <w:r w:rsidR="009F63AC">
        <w:rPr>
          <w:lang w:val="en-US"/>
        </w:rPr>
        <w:t>gr 3</w:t>
      </w:r>
      <w:r w:rsidR="0062116A">
        <w:rPr>
          <w:lang w:val="en-US"/>
        </w:rPr>
        <w:t>; #-</w:t>
      </w:r>
      <w:r w:rsidR="0062116A" w:rsidRPr="0062116A">
        <w:rPr>
          <w:lang w:val="en-US"/>
        </w:rPr>
        <w:t xml:space="preserve"> multiple comparisons</w:t>
      </w:r>
      <w:r w:rsidR="0062116A">
        <w:rPr>
          <w:lang w:val="en-US"/>
        </w:rPr>
        <w:t xml:space="preserve">; </w:t>
      </w:r>
      <w:r w:rsidR="0062116A">
        <w:rPr>
          <w:rFonts w:cstheme="minorHAnsi"/>
          <w:lang w:val="en-US"/>
        </w:rPr>
        <w:t>§</w:t>
      </w:r>
      <w:r w:rsidR="00EC1A00">
        <w:rPr>
          <w:lang w:val="en-US"/>
        </w:rPr>
        <w:t>-direct correlation with LAVI;</w:t>
      </w:r>
    </w:p>
    <w:p w:rsidR="00682600" w:rsidRDefault="00682600" w:rsidP="00F6785C">
      <w:pPr>
        <w:shd w:val="clear" w:color="auto" w:fill="FFFFFF"/>
        <w:spacing w:before="120" w:after="120" w:line="300" w:lineRule="atLeast"/>
        <w:outlineLvl w:val="0"/>
        <w:rPr>
          <w:lang w:val="en-US"/>
        </w:rPr>
      </w:pPr>
    </w:p>
    <w:p w:rsidR="00F728F5" w:rsidRPr="00CE4235" w:rsidRDefault="00F728F5">
      <w:pPr>
        <w:shd w:val="clear" w:color="auto" w:fill="FFFFFF"/>
        <w:spacing w:before="120" w:after="120" w:line="300" w:lineRule="atLeast"/>
        <w:outlineLvl w:val="0"/>
        <w:rPr>
          <w:lang w:val="en-US"/>
        </w:rPr>
      </w:pPr>
      <w:bookmarkStart w:id="0" w:name="_GoBack"/>
      <w:bookmarkEnd w:id="0"/>
    </w:p>
    <w:sectPr w:rsidR="00F728F5" w:rsidRPr="00CE4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29"/>
    <w:rsid w:val="00062298"/>
    <w:rsid w:val="00086F9F"/>
    <w:rsid w:val="0009015D"/>
    <w:rsid w:val="00111D5A"/>
    <w:rsid w:val="00172583"/>
    <w:rsid w:val="00245384"/>
    <w:rsid w:val="002B2827"/>
    <w:rsid w:val="00320C79"/>
    <w:rsid w:val="003C0EA6"/>
    <w:rsid w:val="00455C77"/>
    <w:rsid w:val="005711A4"/>
    <w:rsid w:val="00595AEB"/>
    <w:rsid w:val="005A6E94"/>
    <w:rsid w:val="005E7DA2"/>
    <w:rsid w:val="0062116A"/>
    <w:rsid w:val="00675A35"/>
    <w:rsid w:val="00682600"/>
    <w:rsid w:val="006C0851"/>
    <w:rsid w:val="006F6309"/>
    <w:rsid w:val="00716F7E"/>
    <w:rsid w:val="00757BD3"/>
    <w:rsid w:val="00772BBF"/>
    <w:rsid w:val="0079477D"/>
    <w:rsid w:val="00826718"/>
    <w:rsid w:val="008D741A"/>
    <w:rsid w:val="009E697A"/>
    <w:rsid w:val="009F63AC"/>
    <w:rsid w:val="00AA63B5"/>
    <w:rsid w:val="00B239DD"/>
    <w:rsid w:val="00B314BD"/>
    <w:rsid w:val="00C1423B"/>
    <w:rsid w:val="00C3363F"/>
    <w:rsid w:val="00C86F8C"/>
    <w:rsid w:val="00CE4235"/>
    <w:rsid w:val="00D22585"/>
    <w:rsid w:val="00DF45C5"/>
    <w:rsid w:val="00E51349"/>
    <w:rsid w:val="00EC1A00"/>
    <w:rsid w:val="00EC3729"/>
    <w:rsid w:val="00F17F98"/>
    <w:rsid w:val="00F6785C"/>
    <w:rsid w:val="00F7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3D66"/>
  <w15:chartTrackingRefBased/>
  <w15:docId w15:val="{FA525AF8-7A19-4732-8C46-04BB60ED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7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85C"/>
    <w:rPr>
      <w:rFonts w:ascii="Times New Roman" w:eastAsia="Times New Roman" w:hAnsi="Times New Roman" w:cs="Times New Roman"/>
      <w:b/>
      <w:bCs/>
      <w:kern w:val="36"/>
      <w:sz w:val="48"/>
      <w:szCs w:val="48"/>
      <w:lang w:eastAsia="ru-RU"/>
    </w:rPr>
  </w:style>
  <w:style w:type="character" w:customStyle="1" w:styleId="highlight">
    <w:name w:val="highlight"/>
    <w:basedOn w:val="a0"/>
    <w:rsid w:val="00F6785C"/>
  </w:style>
  <w:style w:type="table" w:styleId="a3">
    <w:name w:val="Table Grid"/>
    <w:basedOn w:val="a1"/>
    <w:uiPriority w:val="39"/>
    <w:rsid w:val="00794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5727">
      <w:bodyDiv w:val="1"/>
      <w:marLeft w:val="0"/>
      <w:marRight w:val="0"/>
      <w:marTop w:val="0"/>
      <w:marBottom w:val="0"/>
      <w:divBdr>
        <w:top w:val="none" w:sz="0" w:space="0" w:color="auto"/>
        <w:left w:val="none" w:sz="0" w:space="0" w:color="auto"/>
        <w:bottom w:val="none" w:sz="0" w:space="0" w:color="auto"/>
        <w:right w:val="none" w:sz="0" w:space="0" w:color="auto"/>
      </w:divBdr>
    </w:div>
    <w:div w:id="6758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1</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6</cp:revision>
  <dcterms:created xsi:type="dcterms:W3CDTF">2018-11-11T07:43:00Z</dcterms:created>
  <dcterms:modified xsi:type="dcterms:W3CDTF">2019-12-03T16:41:00Z</dcterms:modified>
</cp:coreProperties>
</file>