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68" w:rsidRPr="009C08FD" w:rsidRDefault="002B6768" w:rsidP="002B6768">
      <w:pPr>
        <w:spacing w:line="360" w:lineRule="auto"/>
        <w:ind w:left="-284" w:right="283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A2B21">
        <w:rPr>
          <w:rFonts w:ascii="Times New Roman" w:hAnsi="Times New Roman" w:cs="Times New Roman"/>
          <w:sz w:val="28"/>
          <w:szCs w:val="28"/>
        </w:rPr>
        <w:t xml:space="preserve">УДК </w:t>
      </w:r>
      <w:r w:rsidR="00AB0F82">
        <w:rPr>
          <w:rFonts w:ascii="Times New Roman" w:hAnsi="Times New Roman" w:cs="Times New Roman"/>
          <w:sz w:val="28"/>
          <w:szCs w:val="28"/>
        </w:rPr>
        <w:t>614.8</w:t>
      </w:r>
    </w:p>
    <w:p w:rsidR="002B6768" w:rsidRDefault="00DE3E47" w:rsidP="005B7C0B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НЕОБХІДНІСТЬ </w:t>
      </w:r>
      <w:r w:rsidR="00091C71">
        <w:rPr>
          <w:rFonts w:ascii="Times New Roman" w:hAnsi="Times New Roman" w:cs="Times New Roman"/>
          <w:b/>
          <w:sz w:val="28"/>
          <w:szCs w:val="28"/>
        </w:rPr>
        <w:t xml:space="preserve">ПОВСЯКДЕННОГО </w:t>
      </w:r>
      <w:r>
        <w:rPr>
          <w:rFonts w:ascii="Times New Roman" w:hAnsi="Times New Roman" w:cs="Times New Roman"/>
          <w:b/>
          <w:sz w:val="28"/>
          <w:szCs w:val="28"/>
        </w:rPr>
        <w:t>КОМП</w:t>
      </w:r>
      <w:r w:rsidR="00091C7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ЕКСНОГО ПІДХОДУ ДЛЯ ПІДВИЩЕННЯ РІВНЯ БІОЛОГІЧНОЇ БЕЗПЕКИ </w:t>
      </w:r>
      <w:r w:rsidR="002B6768" w:rsidRPr="00910185">
        <w:rPr>
          <w:rFonts w:ascii="Times New Roman" w:hAnsi="Times New Roman" w:cs="Times New Roman"/>
          <w:b/>
          <w:sz w:val="28"/>
          <w:szCs w:val="28"/>
        </w:rPr>
        <w:t xml:space="preserve"> ЛЮДИНИ</w:t>
      </w:r>
      <w:r w:rsidR="00664E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768" w:rsidRDefault="002B6768" w:rsidP="005B7C0B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768" w:rsidRPr="002B6F61" w:rsidRDefault="002B6768" w:rsidP="005B7C0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r w:rsidRPr="002B6F61">
        <w:rPr>
          <w:rFonts w:ascii="Times New Roman" w:hAnsi="Times New Roman" w:cs="Times New Roman"/>
          <w:b/>
          <w:sz w:val="28"/>
          <w:szCs w:val="28"/>
          <w:lang w:val="ru-RU"/>
        </w:rPr>
        <w:t>Федорова Олена Анатоліївна,</w:t>
      </w:r>
    </w:p>
    <w:p w:rsidR="002B6768" w:rsidRPr="002B6F61" w:rsidRDefault="002B6768" w:rsidP="005B7C0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F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6F61">
        <w:rPr>
          <w:rFonts w:ascii="Times New Roman" w:hAnsi="Times New Roman" w:cs="Times New Roman"/>
          <w:sz w:val="28"/>
          <w:szCs w:val="28"/>
          <w:lang w:val="ru-RU"/>
        </w:rPr>
        <w:t>к. м</w:t>
      </w:r>
      <w:r w:rsidR="00357286">
        <w:rPr>
          <w:rFonts w:ascii="Times New Roman" w:hAnsi="Times New Roman" w:cs="Times New Roman"/>
          <w:sz w:val="28"/>
          <w:szCs w:val="28"/>
          <w:lang w:val="ru-RU"/>
        </w:rPr>
        <w:t>ед</w:t>
      </w:r>
      <w:proofErr w:type="gramStart"/>
      <w:r w:rsidRPr="002B6F6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B6F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B6F61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2B6F61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="009C08FD">
        <w:rPr>
          <w:rFonts w:ascii="Times New Roman" w:hAnsi="Times New Roman" w:cs="Times New Roman"/>
          <w:sz w:val="28"/>
          <w:szCs w:val="28"/>
          <w:lang w:val="ru-RU"/>
        </w:rPr>
        <w:t>викладач</w:t>
      </w:r>
      <w:r w:rsidRPr="002B6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FD" w:rsidRDefault="00357286" w:rsidP="009C08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курсу</w:t>
      </w:r>
      <w:r w:rsidR="009C08FD">
        <w:rPr>
          <w:rFonts w:ascii="Times New Roman" w:hAnsi="Times New Roman" w:cs="Times New Roman"/>
          <w:sz w:val="28"/>
          <w:szCs w:val="28"/>
        </w:rPr>
        <w:t xml:space="preserve"> судової медицини</w:t>
      </w:r>
      <w:r w:rsidR="002B6768">
        <w:rPr>
          <w:rFonts w:ascii="Times New Roman" w:hAnsi="Times New Roman" w:cs="Times New Roman"/>
          <w:sz w:val="28"/>
          <w:szCs w:val="28"/>
        </w:rPr>
        <w:t xml:space="preserve">      </w:t>
      </w:r>
      <w:r w:rsidR="002B6768" w:rsidRPr="003815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676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9C08FD" w:rsidRDefault="009C08FD" w:rsidP="0030121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9C08FD">
        <w:rPr>
          <w:rFonts w:ascii="Times New Roman" w:hAnsi="Times New Roman" w:cs="Times New Roman"/>
          <w:sz w:val="28"/>
          <w:szCs w:val="28"/>
        </w:rPr>
        <w:t>права</w:t>
      </w:r>
      <w:r w:rsidR="00301211">
        <w:rPr>
          <w:rFonts w:ascii="Times New Roman" w:hAnsi="Times New Roman" w:cs="Times New Roman"/>
          <w:sz w:val="28"/>
          <w:szCs w:val="28"/>
        </w:rPr>
        <w:t>,</w:t>
      </w:r>
      <w:r w:rsidRPr="009C0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68" w:rsidRPr="00664182" w:rsidRDefault="002B6768" w:rsidP="005B7C0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C08FD">
        <w:rPr>
          <w:rFonts w:ascii="Times New Roman" w:hAnsi="Times New Roman" w:cs="Times New Roman"/>
          <w:b/>
          <w:sz w:val="28"/>
          <w:szCs w:val="28"/>
          <w:lang w:val="ru-RU"/>
        </w:rPr>
        <w:t>Федорова Сніжана Василівна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01211" w:rsidRDefault="002B6768" w:rsidP="005B7C0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0121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4182">
        <w:rPr>
          <w:rFonts w:ascii="Times New Roman" w:hAnsi="Times New Roman" w:cs="Times New Roman"/>
          <w:sz w:val="28"/>
          <w:szCs w:val="28"/>
        </w:rPr>
        <w:t>тудентка</w:t>
      </w:r>
      <w:r w:rsidR="009C08FD">
        <w:rPr>
          <w:rFonts w:ascii="Times New Roman" w:hAnsi="Times New Roman" w:cs="Times New Roman"/>
          <w:sz w:val="28"/>
          <w:szCs w:val="28"/>
        </w:rPr>
        <w:t xml:space="preserve"> 3</w:t>
      </w:r>
      <w:r w:rsidR="00301211">
        <w:rPr>
          <w:rFonts w:ascii="Times New Roman" w:hAnsi="Times New Roman" w:cs="Times New Roman"/>
          <w:sz w:val="28"/>
          <w:szCs w:val="28"/>
        </w:rPr>
        <w:t xml:space="preserve"> курсу </w:t>
      </w:r>
    </w:p>
    <w:p w:rsidR="00301211" w:rsidRDefault="00301211" w:rsidP="00301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юридичний факультет</w:t>
      </w:r>
      <w:r w:rsidRPr="009C08FD">
        <w:rPr>
          <w:rFonts w:ascii="Times New Roman" w:hAnsi="Times New Roman" w:cs="Times New Roman"/>
          <w:sz w:val="28"/>
          <w:szCs w:val="28"/>
        </w:rPr>
        <w:t xml:space="preserve"> ПВНЗ</w:t>
      </w:r>
    </w:p>
    <w:p w:rsidR="002B6768" w:rsidRPr="00301211" w:rsidRDefault="00301211" w:rsidP="00301211">
      <w:pPr>
        <w:jc w:val="right"/>
        <w:rPr>
          <w:lang w:val="ru-RU"/>
        </w:rPr>
      </w:pPr>
      <w:r w:rsidRPr="009C08FD">
        <w:rPr>
          <w:rFonts w:ascii="Times New Roman" w:hAnsi="Times New Roman" w:cs="Times New Roman"/>
          <w:sz w:val="28"/>
          <w:szCs w:val="28"/>
        </w:rPr>
        <w:t xml:space="preserve">«Фінансово-правовий </w:t>
      </w:r>
      <w:r w:rsidR="00664E51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едж</w:t>
      </w:r>
      <w:r>
        <w:rPr>
          <w:rFonts w:ascii="Times New Roman" w:hAnsi="Times New Roman" w:cs="Times New Roman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81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768" w:rsidRPr="002B6F61" w:rsidRDefault="002B6768" w:rsidP="005B7C0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6F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м. Київ, Україна</w:t>
      </w:r>
    </w:p>
    <w:p w:rsidR="00301211" w:rsidRPr="00532842" w:rsidRDefault="002B6768" w:rsidP="00301211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121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hyperlink r:id="rId5" w:history="1">
        <w:r w:rsidR="00301211" w:rsidRPr="008E52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fedorovaelensme</w:t>
        </w:r>
        <w:r w:rsidR="00301211" w:rsidRPr="00664E5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1211" w:rsidRPr="008E52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01211" w:rsidRPr="00664E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211" w:rsidRPr="008E52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01211" w:rsidRPr="003815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2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1211" w:rsidRPr="003815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0121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1211" w:rsidRPr="003815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0121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70197" w:rsidRPr="00D2585F" w:rsidRDefault="002B6768" w:rsidP="009C08FD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B6768" w:rsidRPr="00A529DC" w:rsidRDefault="002B6768" w:rsidP="005B7C0B">
      <w:pPr>
        <w:ind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6768" w:rsidRPr="002B0989" w:rsidRDefault="002B6768" w:rsidP="00760B9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DB">
        <w:rPr>
          <w:rFonts w:ascii="Times New Roman" w:hAnsi="Times New Roman" w:cs="Times New Roman"/>
          <w:b/>
          <w:sz w:val="28"/>
          <w:szCs w:val="28"/>
        </w:rPr>
        <w:t>Анотація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64E51">
        <w:rPr>
          <w:rFonts w:ascii="Times New Roman" w:hAnsi="Times New Roman" w:cs="Times New Roman"/>
          <w:sz w:val="28"/>
          <w:szCs w:val="28"/>
        </w:rPr>
        <w:t>в статті проаналізовано шляхи підвищення рівня біологічної безпеки людини.</w:t>
      </w:r>
      <w:r w:rsidRPr="002E4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B9D" w:rsidRDefault="002B6768" w:rsidP="005B7C0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ADB">
        <w:rPr>
          <w:rFonts w:ascii="Times New Roman" w:hAnsi="Times New Roman" w:cs="Times New Roman"/>
          <w:b/>
          <w:sz w:val="28"/>
          <w:szCs w:val="28"/>
        </w:rPr>
        <w:t>Ключові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0B9D">
        <w:rPr>
          <w:rFonts w:ascii="Times New Roman" w:hAnsi="Times New Roman" w:cs="Times New Roman"/>
          <w:sz w:val="28"/>
          <w:szCs w:val="28"/>
        </w:rPr>
        <w:t>біологічна безпека людини, підвищення рівня безпеки людини</w:t>
      </w:r>
      <w:r w:rsidR="00357286">
        <w:rPr>
          <w:rFonts w:ascii="Times New Roman" w:hAnsi="Times New Roman" w:cs="Times New Roman"/>
          <w:sz w:val="28"/>
          <w:szCs w:val="28"/>
        </w:rPr>
        <w:t xml:space="preserve">, комплексний підхід до підвищення </w:t>
      </w:r>
      <w:proofErr w:type="spellStart"/>
      <w:r w:rsidR="00357286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="00357286">
        <w:rPr>
          <w:rFonts w:ascii="Times New Roman" w:hAnsi="Times New Roman" w:cs="Times New Roman"/>
          <w:sz w:val="28"/>
          <w:szCs w:val="28"/>
        </w:rPr>
        <w:t>.</w:t>
      </w:r>
    </w:p>
    <w:p w:rsidR="00EC44FE" w:rsidRDefault="002B6768" w:rsidP="007463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48D">
        <w:rPr>
          <w:rFonts w:ascii="Times New Roman" w:hAnsi="Times New Roman" w:cs="Times New Roman"/>
          <w:b/>
          <w:sz w:val="28"/>
          <w:szCs w:val="28"/>
        </w:rPr>
        <w:t>Актуальність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новизна</w:t>
      </w:r>
      <w:r w:rsidR="00760B9D">
        <w:rPr>
          <w:rFonts w:ascii="Times New Roman" w:hAnsi="Times New Roman" w:cs="Times New Roman"/>
          <w:sz w:val="28"/>
          <w:szCs w:val="28"/>
        </w:rPr>
        <w:t xml:space="preserve">. </w:t>
      </w:r>
      <w:r w:rsidR="00F357D8">
        <w:rPr>
          <w:rFonts w:ascii="Times New Roman" w:hAnsi="Times New Roman" w:cs="Times New Roman"/>
          <w:sz w:val="28"/>
          <w:szCs w:val="28"/>
        </w:rPr>
        <w:t xml:space="preserve">Взагалі, </w:t>
      </w:r>
      <w:r w:rsidR="00D66D37">
        <w:rPr>
          <w:rFonts w:ascii="Times New Roman" w:hAnsi="Times New Roman" w:cs="Times New Roman"/>
          <w:sz w:val="28"/>
          <w:szCs w:val="28"/>
        </w:rPr>
        <w:t>поняття безпеки</w:t>
      </w:r>
      <w:r w:rsidR="00F357D8">
        <w:rPr>
          <w:rFonts w:ascii="Times New Roman" w:hAnsi="Times New Roman" w:cs="Times New Roman"/>
          <w:sz w:val="28"/>
          <w:szCs w:val="28"/>
        </w:rPr>
        <w:t xml:space="preserve"> людини </w:t>
      </w:r>
      <w:r w:rsidR="00D66D37">
        <w:rPr>
          <w:rFonts w:ascii="Times New Roman" w:hAnsi="Times New Roman" w:cs="Times New Roman"/>
          <w:sz w:val="28"/>
          <w:szCs w:val="28"/>
        </w:rPr>
        <w:t>включає в себе</w:t>
      </w:r>
      <w:r w:rsidR="00012283" w:rsidRPr="0001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«відсутність загроз життєво важливим інтересам людини: її життю, здоров’ю і добробуту</w:t>
      </w:r>
      <w:r w:rsidR="00A31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і вона належить до базових людських потреб</w:t>
      </w:r>
      <w:r w:rsidR="00012283" w:rsidRPr="0001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91C71" w:rsidRPr="00012283">
        <w:rPr>
          <w:rFonts w:ascii="Times New Roman" w:hAnsi="Times New Roman" w:cs="Times New Roman"/>
          <w:sz w:val="28"/>
          <w:szCs w:val="28"/>
        </w:rPr>
        <w:t>[</w:t>
      </w:r>
      <w:r w:rsidR="0080207A">
        <w:rPr>
          <w:rFonts w:ascii="Times New Roman" w:hAnsi="Times New Roman" w:cs="Times New Roman"/>
          <w:sz w:val="28"/>
          <w:szCs w:val="28"/>
        </w:rPr>
        <w:t>1</w:t>
      </w:r>
      <w:r w:rsidR="00091C71" w:rsidRPr="00012283">
        <w:rPr>
          <w:rFonts w:ascii="Times New Roman" w:hAnsi="Times New Roman" w:cs="Times New Roman"/>
          <w:sz w:val="28"/>
          <w:szCs w:val="28"/>
        </w:rPr>
        <w:t>]</w:t>
      </w:r>
      <w:r w:rsidR="00EF0C53">
        <w:rPr>
          <w:rFonts w:ascii="Times New Roman" w:hAnsi="Times New Roman" w:cs="Times New Roman"/>
          <w:sz w:val="28"/>
          <w:szCs w:val="28"/>
        </w:rPr>
        <w:t>.</w:t>
      </w:r>
      <w:r w:rsidR="00EC6707">
        <w:rPr>
          <w:rFonts w:ascii="Times New Roman" w:hAnsi="Times New Roman" w:cs="Times New Roman"/>
          <w:sz w:val="28"/>
          <w:szCs w:val="28"/>
        </w:rPr>
        <w:t xml:space="preserve"> </w:t>
      </w:r>
      <w:r w:rsidR="00F357D8">
        <w:rPr>
          <w:rFonts w:ascii="Times New Roman" w:hAnsi="Times New Roman" w:cs="Times New Roman"/>
          <w:sz w:val="28"/>
          <w:szCs w:val="28"/>
        </w:rPr>
        <w:t xml:space="preserve">Недарма, законодавство </w:t>
      </w:r>
      <w:r w:rsidR="00EA1596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F357D8">
        <w:rPr>
          <w:rFonts w:ascii="Times New Roman" w:hAnsi="Times New Roman" w:cs="Times New Roman"/>
          <w:sz w:val="28"/>
          <w:szCs w:val="28"/>
        </w:rPr>
        <w:t xml:space="preserve">щодо безпеки життєдіяльності </w:t>
      </w:r>
      <w:r w:rsidR="00EA1596">
        <w:rPr>
          <w:rFonts w:ascii="Times New Roman" w:hAnsi="Times New Roman" w:cs="Times New Roman"/>
          <w:sz w:val="28"/>
          <w:szCs w:val="28"/>
        </w:rPr>
        <w:t xml:space="preserve">людини </w:t>
      </w:r>
      <w:r w:rsidR="00F003D3">
        <w:rPr>
          <w:rFonts w:ascii="Times New Roman" w:hAnsi="Times New Roman" w:cs="Times New Roman"/>
          <w:sz w:val="28"/>
          <w:szCs w:val="28"/>
        </w:rPr>
        <w:t xml:space="preserve">містить </w:t>
      </w:r>
      <w:r w:rsidR="00F357D8">
        <w:rPr>
          <w:rFonts w:ascii="Times New Roman" w:hAnsi="Times New Roman" w:cs="Times New Roman"/>
          <w:sz w:val="28"/>
          <w:szCs w:val="28"/>
        </w:rPr>
        <w:t xml:space="preserve"> </w:t>
      </w:r>
      <w:r w:rsidR="00EA1596">
        <w:rPr>
          <w:rFonts w:ascii="Times New Roman" w:hAnsi="Times New Roman" w:cs="Times New Roman"/>
          <w:sz w:val="28"/>
          <w:szCs w:val="28"/>
        </w:rPr>
        <w:t>цілу низку</w:t>
      </w:r>
      <w:r w:rsidR="00F357D8">
        <w:rPr>
          <w:rFonts w:ascii="Times New Roman" w:hAnsi="Times New Roman" w:cs="Times New Roman"/>
          <w:sz w:val="28"/>
          <w:szCs w:val="28"/>
        </w:rPr>
        <w:t xml:space="preserve"> законів: </w:t>
      </w:r>
      <w:r w:rsidR="00F003D3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F357D8">
        <w:rPr>
          <w:rFonts w:ascii="Times New Roman" w:hAnsi="Times New Roman" w:cs="Times New Roman"/>
          <w:sz w:val="28"/>
          <w:szCs w:val="28"/>
        </w:rPr>
        <w:t>«Про охорону здоров</w:t>
      </w:r>
      <w:r w:rsidR="00F357D8" w:rsidRPr="005461C1">
        <w:rPr>
          <w:rFonts w:ascii="Times New Roman" w:hAnsi="Times New Roman" w:cs="Times New Roman"/>
          <w:sz w:val="28"/>
          <w:szCs w:val="28"/>
        </w:rPr>
        <w:t>’</w:t>
      </w:r>
      <w:r w:rsidR="00F357D8">
        <w:rPr>
          <w:rFonts w:ascii="Times New Roman" w:hAnsi="Times New Roman" w:cs="Times New Roman"/>
          <w:sz w:val="28"/>
          <w:szCs w:val="28"/>
        </w:rPr>
        <w:t>я», «Про за</w:t>
      </w:r>
      <w:r w:rsidR="00CC2FEE">
        <w:rPr>
          <w:rFonts w:ascii="Times New Roman" w:hAnsi="Times New Roman" w:cs="Times New Roman"/>
          <w:sz w:val="28"/>
          <w:szCs w:val="28"/>
        </w:rPr>
        <w:t>безпечення санітарно-епідем</w:t>
      </w:r>
      <w:r w:rsidR="00F357D8">
        <w:rPr>
          <w:rFonts w:ascii="Times New Roman" w:hAnsi="Times New Roman" w:cs="Times New Roman"/>
          <w:sz w:val="28"/>
          <w:szCs w:val="28"/>
        </w:rPr>
        <w:t xml:space="preserve">ічного благополуччя  </w:t>
      </w:r>
      <w:r w:rsidR="00CC2FEE">
        <w:rPr>
          <w:rFonts w:ascii="Times New Roman" w:hAnsi="Times New Roman" w:cs="Times New Roman"/>
          <w:sz w:val="28"/>
          <w:szCs w:val="28"/>
        </w:rPr>
        <w:t>населення</w:t>
      </w:r>
      <w:r w:rsidR="00F357D8">
        <w:rPr>
          <w:rFonts w:ascii="Times New Roman" w:hAnsi="Times New Roman" w:cs="Times New Roman"/>
          <w:sz w:val="28"/>
          <w:szCs w:val="28"/>
        </w:rPr>
        <w:t>»</w:t>
      </w:r>
      <w:r w:rsidR="00CC2FEE">
        <w:rPr>
          <w:rFonts w:ascii="Times New Roman" w:hAnsi="Times New Roman" w:cs="Times New Roman"/>
          <w:sz w:val="28"/>
          <w:szCs w:val="28"/>
        </w:rPr>
        <w:t>, «</w:t>
      </w:r>
      <w:r w:rsidR="00CC2FEE" w:rsidRPr="00CC2FEE">
        <w:rPr>
          <w:rFonts w:ascii="Times New Roman" w:hAnsi="Times New Roman" w:cs="Times New Roman"/>
          <w:sz w:val="28"/>
          <w:szCs w:val="28"/>
        </w:rPr>
        <w:t>Про охорону навколишнього середовища</w:t>
      </w:r>
      <w:r w:rsidR="00CC2FEE">
        <w:rPr>
          <w:rFonts w:ascii="Times New Roman" w:hAnsi="Times New Roman" w:cs="Times New Roman"/>
          <w:sz w:val="28"/>
          <w:szCs w:val="28"/>
        </w:rPr>
        <w:t>» тощо.</w:t>
      </w:r>
      <w:r w:rsidR="00F003D3">
        <w:rPr>
          <w:rFonts w:ascii="Times New Roman" w:hAnsi="Times New Roman" w:cs="Times New Roman"/>
          <w:sz w:val="28"/>
          <w:szCs w:val="28"/>
        </w:rPr>
        <w:t xml:space="preserve"> А в </w:t>
      </w:r>
      <w:r w:rsidR="00D66D37">
        <w:rPr>
          <w:rFonts w:ascii="Times New Roman" w:hAnsi="Times New Roman" w:cs="Times New Roman"/>
          <w:sz w:val="28"/>
          <w:szCs w:val="28"/>
        </w:rPr>
        <w:t xml:space="preserve">ч.1. </w:t>
      </w:r>
      <w:r w:rsidR="00F003D3">
        <w:rPr>
          <w:rFonts w:ascii="Times New Roman" w:hAnsi="Times New Roman" w:cs="Times New Roman"/>
          <w:sz w:val="28"/>
          <w:szCs w:val="28"/>
        </w:rPr>
        <w:t xml:space="preserve">ст.3 Конституції Україні найвищою </w:t>
      </w:r>
    </w:p>
    <w:p w:rsidR="00CC2FEE" w:rsidRDefault="00F003D3" w:rsidP="00EC44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цінністю </w:t>
      </w:r>
      <w:r w:rsidR="00D66D37">
        <w:rPr>
          <w:rFonts w:ascii="Times New Roman" w:hAnsi="Times New Roman" w:cs="Times New Roman"/>
          <w:sz w:val="28"/>
          <w:szCs w:val="28"/>
        </w:rPr>
        <w:t xml:space="preserve">проголошено </w:t>
      </w:r>
      <w:r>
        <w:rPr>
          <w:rFonts w:ascii="Times New Roman" w:hAnsi="Times New Roman" w:cs="Times New Roman"/>
          <w:sz w:val="28"/>
          <w:szCs w:val="28"/>
        </w:rPr>
        <w:t>життя та здоров</w:t>
      </w:r>
      <w:r w:rsidRPr="005461C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людини.</w:t>
      </w:r>
      <w:r w:rsidR="009738D6">
        <w:rPr>
          <w:rFonts w:ascii="Times New Roman" w:hAnsi="Times New Roman" w:cs="Times New Roman"/>
          <w:sz w:val="28"/>
          <w:szCs w:val="28"/>
        </w:rPr>
        <w:t xml:space="preserve"> </w:t>
      </w:r>
      <w:r w:rsidR="00CC2FEE">
        <w:rPr>
          <w:rFonts w:ascii="Times New Roman" w:hAnsi="Times New Roman" w:cs="Times New Roman"/>
          <w:sz w:val="28"/>
          <w:szCs w:val="28"/>
        </w:rPr>
        <w:t xml:space="preserve">В концепції ООН «Про сталий людський розвиток» </w:t>
      </w:r>
      <w:r w:rsidR="00073337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CC2FEE">
        <w:rPr>
          <w:rFonts w:ascii="Times New Roman" w:hAnsi="Times New Roman" w:cs="Times New Roman"/>
          <w:sz w:val="28"/>
          <w:szCs w:val="28"/>
        </w:rPr>
        <w:t xml:space="preserve">було зроблено акцент на те, що безпека людини є її </w:t>
      </w:r>
      <w:r w:rsidR="004F6928">
        <w:rPr>
          <w:rFonts w:ascii="Times New Roman" w:hAnsi="Times New Roman" w:cs="Times New Roman"/>
          <w:sz w:val="28"/>
          <w:szCs w:val="28"/>
        </w:rPr>
        <w:t>«</w:t>
      </w:r>
      <w:r w:rsidR="00CC2FEE">
        <w:rPr>
          <w:rFonts w:ascii="Times New Roman" w:hAnsi="Times New Roman" w:cs="Times New Roman"/>
          <w:sz w:val="28"/>
          <w:szCs w:val="28"/>
        </w:rPr>
        <w:t>базисною основою</w:t>
      </w:r>
      <w:r w:rsidR="004F6928">
        <w:rPr>
          <w:rFonts w:ascii="Times New Roman" w:hAnsi="Times New Roman" w:cs="Times New Roman"/>
          <w:sz w:val="28"/>
          <w:szCs w:val="28"/>
        </w:rPr>
        <w:t>»</w:t>
      </w:r>
      <w:r w:rsidR="00CC2FEE">
        <w:rPr>
          <w:rFonts w:ascii="Times New Roman" w:hAnsi="Times New Roman" w:cs="Times New Roman"/>
          <w:sz w:val="28"/>
          <w:szCs w:val="28"/>
        </w:rPr>
        <w:t xml:space="preserve"> [</w:t>
      </w:r>
      <w:r w:rsidR="00EC6707">
        <w:rPr>
          <w:rFonts w:ascii="Times New Roman" w:hAnsi="Times New Roman" w:cs="Times New Roman"/>
          <w:sz w:val="28"/>
          <w:szCs w:val="28"/>
        </w:rPr>
        <w:t>2</w:t>
      </w:r>
      <w:r w:rsidR="00CC2FEE">
        <w:rPr>
          <w:rFonts w:ascii="Times New Roman" w:hAnsi="Times New Roman" w:cs="Times New Roman"/>
          <w:sz w:val="28"/>
          <w:szCs w:val="28"/>
        </w:rPr>
        <w:t>].</w:t>
      </w:r>
    </w:p>
    <w:p w:rsidR="009738D6" w:rsidRDefault="009738D6" w:rsidP="007463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D6">
        <w:rPr>
          <w:rFonts w:ascii="Times New Roman" w:hAnsi="Times New Roman" w:cs="Times New Roman"/>
          <w:sz w:val="28"/>
          <w:szCs w:val="28"/>
        </w:rPr>
        <w:t>В науці «безпека життєдіяльності» наведена класифікація небезпек, яка налічує понад 150 найменувань. Однак, за чинниками походження небезпека поділяється на природну, техногенну, соціально-політичну та комбіновану. Автори дослідження наводять критерії  серйозності небезпек (від 4-ої незначної – до 1-ої катастрофічної, при якій настає смерть людини) та рівні ймовірності небезпеки (від Е – неймовірної – до А – частої). Отже, як ми бачимо, зниження рівня та запобігання небезпеки для життя громадян є пріоритетом нашої держави.</w:t>
      </w:r>
    </w:p>
    <w:p w:rsidR="005C56BE" w:rsidRDefault="005C56BE" w:rsidP="005C56B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6BE">
        <w:rPr>
          <w:rFonts w:ascii="Times New Roman" w:hAnsi="Times New Roman" w:cs="Times New Roman"/>
          <w:sz w:val="28"/>
          <w:szCs w:val="28"/>
        </w:rPr>
        <w:t>Разом з тим, вочевидь, що поки що не все зроблено для реального зниження рівня безпеки суспільства. Наприклад, останні події в світі (</w:t>
      </w:r>
      <w:r>
        <w:rPr>
          <w:rFonts w:ascii="Times New Roman" w:hAnsi="Times New Roman" w:cs="Times New Roman"/>
          <w:sz w:val="28"/>
          <w:szCs w:val="28"/>
        </w:rPr>
        <w:t xml:space="preserve">стихійні лиха: землетруси, повені; техногенні катастрофи; </w:t>
      </w:r>
      <w:r w:rsidRPr="005C56BE">
        <w:rPr>
          <w:rFonts w:ascii="Times New Roman" w:hAnsi="Times New Roman" w:cs="Times New Roman"/>
          <w:sz w:val="28"/>
          <w:szCs w:val="28"/>
        </w:rPr>
        <w:t xml:space="preserve">пандемія Covid-19 та розгубленість і не готовність систем охорони здоров’я  більшості країн світу (в т.ч. й України),  протистояти раптовій хворобі), що торкнулись біологічної  безпеки як окремих людей, так і суспільств, показали, що людство, як і раніше, лишається вразливим до агресивних біологічних, фізичних та інших чинників навколишнього середовища. </w:t>
      </w:r>
      <w:r>
        <w:rPr>
          <w:rFonts w:ascii="Times New Roman" w:hAnsi="Times New Roman" w:cs="Times New Roman"/>
          <w:sz w:val="28"/>
          <w:szCs w:val="28"/>
        </w:rPr>
        <w:t xml:space="preserve"> Це відбувається тому, що біологічна безпека людини складається не лише з медичного аспекту. І саме тому, тема дослідження є актуальною.</w:t>
      </w:r>
    </w:p>
    <w:p w:rsidR="00A466F1" w:rsidRPr="00AA3004" w:rsidRDefault="002577EC" w:rsidP="00AA300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конституційному праві </w:t>
      </w:r>
      <w:r w:rsidRPr="00EA1596">
        <w:rPr>
          <w:rFonts w:ascii="Times New Roman" w:hAnsi="Times New Roman" w:cs="Times New Roman"/>
          <w:sz w:val="28"/>
          <w:szCs w:val="28"/>
        </w:rPr>
        <w:t>Державний стандарт України 229399 визначає термін «безпека» як стан захищеності особи та суспільства від ризику зазнати</w:t>
      </w:r>
      <w:r>
        <w:rPr>
          <w:rFonts w:ascii="Times New Roman" w:hAnsi="Times New Roman" w:cs="Times New Roman"/>
          <w:sz w:val="28"/>
          <w:szCs w:val="28"/>
        </w:rPr>
        <w:t xml:space="preserve"> шкоди[</w:t>
      </w:r>
      <w:r w:rsidR="00746353">
        <w:rPr>
          <w:rFonts w:ascii="Times New Roman" w:hAnsi="Times New Roman" w:cs="Times New Roman"/>
          <w:sz w:val="28"/>
          <w:szCs w:val="28"/>
        </w:rPr>
        <w:t>3,  с.34]</w:t>
      </w:r>
      <w:r>
        <w:rPr>
          <w:rFonts w:ascii="Times New Roman" w:hAnsi="Times New Roman" w:cs="Times New Roman"/>
          <w:sz w:val="28"/>
          <w:szCs w:val="28"/>
        </w:rPr>
        <w:t xml:space="preserve"> Юрист, проф. Тихий В.П. пише: «</w:t>
      </w:r>
      <w:r w:rsidRPr="00D5079F">
        <w:rPr>
          <w:rFonts w:ascii="Times New Roman" w:hAnsi="Times New Roman" w:cs="Times New Roman"/>
          <w:sz w:val="28"/>
          <w:szCs w:val="28"/>
        </w:rPr>
        <w:t>Тому, на наш погляд, право людини на безпеку – це комплексне, узагальнююче, інтег</w:t>
      </w:r>
      <w:r>
        <w:rPr>
          <w:rFonts w:ascii="Times New Roman" w:hAnsi="Times New Roman" w:cs="Times New Roman"/>
          <w:sz w:val="28"/>
          <w:szCs w:val="28"/>
        </w:rPr>
        <w:t>ральне право…</w:t>
      </w:r>
      <w:r w:rsidRPr="00B3153D">
        <w:rPr>
          <w:rFonts w:ascii="Times New Roman" w:hAnsi="Times New Roman" w:cs="Times New Roman"/>
          <w:sz w:val="28"/>
          <w:szCs w:val="28"/>
        </w:rPr>
        <w:t>Тому під безпекою людини у вузькому значенні слова ми розуміємо безпеку життя і здоров’я людини від фізичних та/або психологічних загроз, існування людини, вільне від загроз її життю і здоров’ю, захищеності від них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3153D">
        <w:rPr>
          <w:rFonts w:ascii="Times New Roman" w:hAnsi="Times New Roman" w:cs="Times New Roman"/>
          <w:sz w:val="28"/>
          <w:szCs w:val="28"/>
        </w:rPr>
        <w:t xml:space="preserve"> Саме з цього виходить і нова наука «Безпека життєдіяльності».</w:t>
      </w:r>
      <w:r>
        <w:rPr>
          <w:rFonts w:ascii="Times New Roman" w:hAnsi="Times New Roman" w:cs="Times New Roman"/>
          <w:sz w:val="28"/>
          <w:szCs w:val="28"/>
        </w:rPr>
        <w:t xml:space="preserve"> Без життя немає й самої людини». Отже, як стає вочевидь, поняття безпеки людини є комплексним, через це й підвищувати її рівень неможливо лише зусиллями медиків, психологів чи юристів. Необхідно об’єднана праця різних спеціалістів.</w:t>
      </w:r>
      <w:r w:rsidR="00A466F1" w:rsidRPr="00AA3004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A466F1" w:rsidRPr="00AA3004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 </w:instrText>
      </w:r>
      <w:r w:rsidR="00A466F1" w:rsidRPr="00AA3004">
        <w:rPr>
          <w:rFonts w:ascii="Times New Roman" w:hAnsi="Times New Roman" w:cs="Times New Roman"/>
          <w:sz w:val="28"/>
          <w:szCs w:val="28"/>
        </w:rPr>
        <w:instrText>https://</w:instrText>
      </w:r>
      <w:r w:rsidR="00A466F1" w:rsidRPr="00AA3004">
        <w:rPr>
          <w:rFonts w:ascii="Times New Roman" w:hAnsi="Times New Roman" w:cs="Times New Roman"/>
          <w:sz w:val="28"/>
          <w:szCs w:val="28"/>
          <w:shd w:val="clear" w:color="auto" w:fill="FFFFFF"/>
        </w:rPr>
        <w:instrText>irbis-nbuv.gov.ua </w:instrText>
      </w:r>
      <w:r w:rsidR="00A466F1" w:rsidRPr="00AA3004">
        <w:rPr>
          <w:rFonts w:ascii="Times New Roman" w:hAnsi="Times New Roman" w:cs="Times New Roman"/>
          <w:sz w:val="28"/>
          <w:szCs w:val="28"/>
        </w:rPr>
        <w:instrText>].</w:instrText>
      </w:r>
    </w:p>
    <w:p w:rsidR="00A466F1" w:rsidRPr="00AA3004" w:rsidRDefault="00A466F1" w:rsidP="00B46FF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04">
        <w:rPr>
          <w:rFonts w:ascii="Times New Roman" w:hAnsi="Times New Roman" w:cs="Times New Roman"/>
          <w:sz w:val="28"/>
          <w:szCs w:val="28"/>
        </w:rPr>
        <w:instrText>І  злагоджена робота різноманітних державних структур: медиків, поліції, військово- та держслужбовців показала позитивний результат у стримуванні пандемії. Зрозуміло, що такий комплексний підхід до вирішення проблеми підвищення рівня безпеки людей є абсолютно адекватним, але скороминущим, оскільки кожна структура в цей час обирає найбільшим пріоритетом збереження життя людей завдяки профілактичним та лікувальним заходам, при цьому приділяючи меншу увагу небезпеці спокою та життя людей внаслідок інших чинників, наприклад, чиїхось злочинних дій.</w:instrText>
      </w:r>
    </w:p>
    <w:p w:rsidR="00A466F1" w:rsidRPr="00AA3004" w:rsidRDefault="00A466F1" w:rsidP="00A466F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004">
        <w:rPr>
          <w:rFonts w:ascii="Times New Roman" w:hAnsi="Times New Roman" w:cs="Times New Roman"/>
          <w:sz w:val="28"/>
          <w:szCs w:val="28"/>
          <w:shd w:val="clear" w:color="auto" w:fill="FFFFFF"/>
        </w:rPr>
        <w:instrText>Через це, вважаємо, що комплексний підхід до підвищення рівня біологічної безпеки варто застосовувати й в повсякденному житті. А це вже є новим підходом до вирішення такої проблеми.</w:instrText>
      </w:r>
    </w:p>
    <w:p w:rsidR="00A466F1" w:rsidRPr="00AA3004" w:rsidRDefault="00A466F1" w:rsidP="00B46FF7">
      <w:pPr>
        <w:spacing w:after="0" w:line="360" w:lineRule="auto"/>
        <w:ind w:right="-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A3004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" </w:instrText>
      </w:r>
      <w:r w:rsidRPr="00AA3004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</w:p>
    <w:p w:rsidR="00A466F1" w:rsidRPr="00AA3004" w:rsidRDefault="00A466F1" w:rsidP="00B46FF7">
      <w:pPr>
        <w:spacing w:after="0" w:line="360" w:lineRule="auto"/>
        <w:ind w:right="-1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A300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І  злагоджена робота різноманітних державних структур: медиків, поліції, військово- та держслужбовців показала позитивний результат у стримуванні пандемії. Зрозуміло, що такий комплексний підхід до вирішення проблеми підвищення рівня безпеки людей є абсолютно адекватним, але скороминущим, оскільки кожна структура в цей час обирає найбільшим пріоритетом збереження життя людей завдяки профілактичним та лікувальним заходам, при цьому приділяючи меншу увагу небезпеці спокою та життя людей внаслідок інших чинників, наприклад, чиїхось злочинних дій.</w:t>
      </w:r>
    </w:p>
    <w:p w:rsidR="00A466F1" w:rsidRPr="00AA3004" w:rsidRDefault="00A466F1" w:rsidP="00E93F7B">
      <w:pPr>
        <w:spacing w:after="0" w:line="360" w:lineRule="auto"/>
        <w:ind w:right="-1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AA300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Через це, вважаємо, що комплексний підхід до підвищення рівня біологічної безпеки варто застосовувати й в повсякденному житті. А це вже є новим підходом до вирішення такої проблеми.</w:t>
      </w:r>
    </w:p>
    <w:p w:rsidR="005461C1" w:rsidRDefault="00A466F1" w:rsidP="00E93F7B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004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="009D1D44" w:rsidRPr="00935D6C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="009D1D44">
        <w:rPr>
          <w:rFonts w:ascii="Times New Roman" w:hAnsi="Times New Roman" w:cs="Times New Roman"/>
          <w:sz w:val="28"/>
          <w:szCs w:val="28"/>
        </w:rPr>
        <w:t xml:space="preserve"> – дослідити стан </w:t>
      </w:r>
      <w:r w:rsidR="00891F42">
        <w:rPr>
          <w:rFonts w:ascii="Times New Roman" w:hAnsi="Times New Roman" w:cs="Times New Roman"/>
          <w:sz w:val="28"/>
          <w:szCs w:val="28"/>
        </w:rPr>
        <w:t xml:space="preserve">біологічної </w:t>
      </w:r>
      <w:r w:rsidR="009D1D44">
        <w:rPr>
          <w:rFonts w:ascii="Times New Roman" w:hAnsi="Times New Roman" w:cs="Times New Roman"/>
          <w:sz w:val="28"/>
          <w:szCs w:val="28"/>
        </w:rPr>
        <w:t xml:space="preserve">безпеки людини в Україні </w:t>
      </w:r>
      <w:r w:rsidR="00953C4F">
        <w:rPr>
          <w:rFonts w:ascii="Times New Roman" w:hAnsi="Times New Roman" w:cs="Times New Roman"/>
          <w:sz w:val="28"/>
          <w:szCs w:val="28"/>
        </w:rPr>
        <w:t xml:space="preserve">в минулі роки </w:t>
      </w:r>
      <w:r w:rsidR="009D1D44">
        <w:rPr>
          <w:rFonts w:ascii="Times New Roman" w:hAnsi="Times New Roman" w:cs="Times New Roman"/>
          <w:sz w:val="28"/>
          <w:szCs w:val="28"/>
        </w:rPr>
        <w:t>та виявити шляхи підвищення її рівня.</w:t>
      </w:r>
    </w:p>
    <w:p w:rsidR="002B6768" w:rsidRDefault="002B6768" w:rsidP="005B7C0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E4">
        <w:rPr>
          <w:rFonts w:ascii="Times New Roman" w:hAnsi="Times New Roman" w:cs="Times New Roman"/>
          <w:b/>
          <w:sz w:val="28"/>
          <w:szCs w:val="28"/>
        </w:rPr>
        <w:t>Матеріали та методи</w:t>
      </w:r>
      <w:r>
        <w:rPr>
          <w:rFonts w:ascii="Times New Roman" w:hAnsi="Times New Roman" w:cs="Times New Roman"/>
          <w:sz w:val="28"/>
          <w:szCs w:val="28"/>
        </w:rPr>
        <w:t>. При проведенні роботи були застосовані такі</w:t>
      </w:r>
      <w:r w:rsidR="007C59A0">
        <w:rPr>
          <w:rFonts w:ascii="Times New Roman" w:hAnsi="Times New Roman" w:cs="Times New Roman"/>
          <w:sz w:val="28"/>
          <w:szCs w:val="28"/>
        </w:rPr>
        <w:t xml:space="preserve"> </w:t>
      </w:r>
      <w:r w:rsidR="009966B9">
        <w:rPr>
          <w:rFonts w:ascii="Times New Roman" w:hAnsi="Times New Roman" w:cs="Times New Roman"/>
          <w:sz w:val="28"/>
          <w:szCs w:val="28"/>
        </w:rPr>
        <w:t xml:space="preserve">матеріали, як публікації та </w:t>
      </w:r>
      <w:proofErr w:type="spellStart"/>
      <w:r w:rsidR="009966B9">
        <w:rPr>
          <w:rFonts w:ascii="Times New Roman" w:hAnsi="Times New Roman" w:cs="Times New Roman"/>
          <w:sz w:val="28"/>
          <w:szCs w:val="28"/>
        </w:rPr>
        <w:t>інтернет-ресурс</w:t>
      </w:r>
      <w:proofErr w:type="spellEnd"/>
      <w:r w:rsidR="009966B9">
        <w:rPr>
          <w:rFonts w:ascii="Times New Roman" w:hAnsi="Times New Roman" w:cs="Times New Roman"/>
          <w:sz w:val="28"/>
          <w:szCs w:val="28"/>
        </w:rPr>
        <w:t xml:space="preserve"> й </w:t>
      </w:r>
      <w:r w:rsidR="006D0E74">
        <w:rPr>
          <w:rFonts w:ascii="Times New Roman" w:hAnsi="Times New Roman" w:cs="Times New Roman"/>
          <w:sz w:val="28"/>
          <w:szCs w:val="28"/>
        </w:rPr>
        <w:t xml:space="preserve">такі </w:t>
      </w:r>
      <w:r w:rsidR="007C59A0">
        <w:rPr>
          <w:rFonts w:ascii="Times New Roman" w:hAnsi="Times New Roman" w:cs="Times New Roman"/>
          <w:sz w:val="28"/>
          <w:szCs w:val="28"/>
        </w:rPr>
        <w:t>методи дослідження, як:</w:t>
      </w:r>
      <w:r>
        <w:rPr>
          <w:rFonts w:ascii="Times New Roman" w:hAnsi="Times New Roman" w:cs="Times New Roman"/>
          <w:sz w:val="28"/>
          <w:szCs w:val="28"/>
        </w:rPr>
        <w:t xml:space="preserve"> порівняльний, аналітичний та статистичний методи.</w:t>
      </w:r>
    </w:p>
    <w:p w:rsidR="003278BB" w:rsidRDefault="002B6768" w:rsidP="00EB52E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E4">
        <w:rPr>
          <w:rFonts w:ascii="Times New Roman" w:hAnsi="Times New Roman" w:cs="Times New Roman"/>
          <w:b/>
          <w:sz w:val="28"/>
          <w:szCs w:val="28"/>
        </w:rPr>
        <w:t>Результати дослідження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Всього було проаналізовано </w:t>
      </w:r>
      <w:r w:rsidR="00524603">
        <w:rPr>
          <w:rFonts w:ascii="Times New Roman" w:hAnsi="Times New Roman" w:cs="Times New Roman"/>
          <w:sz w:val="28"/>
          <w:szCs w:val="28"/>
        </w:rPr>
        <w:t>три</w:t>
      </w:r>
      <w:r w:rsidR="00440C54">
        <w:rPr>
          <w:rFonts w:ascii="Times New Roman" w:hAnsi="Times New Roman" w:cs="Times New Roman"/>
          <w:sz w:val="28"/>
          <w:szCs w:val="28"/>
        </w:rPr>
        <w:t xml:space="preserve"> </w:t>
      </w:r>
      <w:r w:rsidR="00524603">
        <w:rPr>
          <w:rFonts w:ascii="Times New Roman" w:hAnsi="Times New Roman" w:cs="Times New Roman"/>
          <w:sz w:val="28"/>
          <w:szCs w:val="28"/>
        </w:rPr>
        <w:t>шляхи</w:t>
      </w:r>
      <w:r w:rsidR="00440C54">
        <w:rPr>
          <w:rFonts w:ascii="Times New Roman" w:hAnsi="Times New Roman" w:cs="Times New Roman"/>
          <w:sz w:val="28"/>
          <w:szCs w:val="28"/>
        </w:rPr>
        <w:t xml:space="preserve"> збереження та підвищення рівня безпеки людини: медичний, психологічний, юридичний.</w:t>
      </w:r>
    </w:p>
    <w:p w:rsidR="00524603" w:rsidRDefault="00935D6C" w:rsidP="0052460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дослідженні стану біологічної безпеки людини в Україні, виявилось, що, за словами дослідників (Л.М.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Курняк</w:t>
      </w:r>
      <w:proofErr w:type="spellEnd"/>
      <w:r w:rsidR="005B21E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5D6C">
        <w:rPr>
          <w:rFonts w:ascii="Times New Roman" w:hAnsi="Times New Roman" w:cs="Times New Roman"/>
          <w:sz w:val="28"/>
          <w:szCs w:val="28"/>
        </w:rPr>
        <w:t>учасний стан безпеки в Україні незадовільний. Україна має на рік жертв пожеж майже в 1000 разів більше, ніж Китай, втрати людського життя на виробництві в середньому в 10 разів більші, ніж у країнах Європи, втрати в побуті наближені до світового максимуму</w:t>
      </w:r>
      <w:r w:rsidR="005B21EA">
        <w:rPr>
          <w:rFonts w:ascii="Times New Roman" w:hAnsi="Times New Roman" w:cs="Times New Roman"/>
          <w:sz w:val="28"/>
          <w:szCs w:val="28"/>
        </w:rPr>
        <w:t>, щ</w:t>
      </w:r>
      <w:r w:rsidR="005B21EA" w:rsidRPr="005B21EA">
        <w:rPr>
          <w:rFonts w:ascii="Times New Roman" w:hAnsi="Times New Roman" w:cs="Times New Roman"/>
          <w:sz w:val="28"/>
          <w:szCs w:val="28"/>
        </w:rPr>
        <w:t>ороку в країні з різних причин погіршується стан здоров'я більше ніж 2,5 млн. людей, у тому числі смертельно – понад 76 000 осіб, або 250 осіб щодня. Кількість осіб, які загинули на 100 000 померлих у нашій державі, майже у 9–12 разів більша, н</w:t>
      </w:r>
      <w:r w:rsidR="005B21EA">
        <w:rPr>
          <w:rFonts w:ascii="Times New Roman" w:hAnsi="Times New Roman" w:cs="Times New Roman"/>
          <w:sz w:val="28"/>
          <w:szCs w:val="28"/>
        </w:rPr>
        <w:t>іж у розвинутих державах Європи</w:t>
      </w:r>
      <w:r w:rsidR="005B21EA" w:rsidRPr="005B2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="00524603">
        <w:rPr>
          <w:rFonts w:ascii="Times New Roman" w:hAnsi="Times New Roman" w:cs="Times New Roman"/>
          <w:sz w:val="28"/>
          <w:szCs w:val="28"/>
        </w:rPr>
        <w:t>4</w:t>
      </w:r>
      <w:r w:rsidR="00EC44FE">
        <w:rPr>
          <w:rFonts w:ascii="Times New Roman" w:hAnsi="Times New Roman" w:cs="Times New Roman"/>
          <w:sz w:val="28"/>
          <w:szCs w:val="28"/>
        </w:rPr>
        <w:t>, с. 87</w:t>
      </w:r>
      <w:r w:rsidR="00EC44FE" w:rsidRPr="00EC44F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EC44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24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7D0" w:rsidRDefault="008B7240" w:rsidP="008B724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47D0">
        <w:rPr>
          <w:rFonts w:ascii="Times New Roman" w:hAnsi="Times New Roman"/>
          <w:sz w:val="28"/>
          <w:szCs w:val="28"/>
        </w:rPr>
        <w:t xml:space="preserve">За даними державної служби статистики України, </w:t>
      </w:r>
      <w:r w:rsidR="002E1585">
        <w:rPr>
          <w:rFonts w:ascii="Times New Roman" w:hAnsi="Times New Roman"/>
          <w:sz w:val="28"/>
          <w:szCs w:val="28"/>
        </w:rPr>
        <w:t>згідно табл.</w:t>
      </w:r>
      <w:r w:rsidR="00F7022B">
        <w:rPr>
          <w:rFonts w:ascii="Times New Roman" w:hAnsi="Times New Roman"/>
          <w:sz w:val="28"/>
          <w:szCs w:val="28"/>
        </w:rPr>
        <w:t xml:space="preserve"> 6 З</w:t>
      </w:r>
      <w:r w:rsidR="002E1585">
        <w:rPr>
          <w:rFonts w:ascii="Times New Roman" w:hAnsi="Times New Roman"/>
          <w:sz w:val="28"/>
          <w:szCs w:val="28"/>
        </w:rPr>
        <w:t xml:space="preserve">бірнику, коефіцієнти смертності  </w:t>
      </w:r>
      <w:r w:rsidR="00F7022B">
        <w:rPr>
          <w:rFonts w:ascii="Times New Roman" w:hAnsi="Times New Roman"/>
          <w:sz w:val="28"/>
          <w:szCs w:val="28"/>
        </w:rPr>
        <w:t>(</w:t>
      </w:r>
      <w:r w:rsidR="002E1585">
        <w:rPr>
          <w:rFonts w:ascii="Times New Roman" w:hAnsi="Times New Roman"/>
          <w:sz w:val="28"/>
          <w:szCs w:val="28"/>
        </w:rPr>
        <w:t>обидві статі</w:t>
      </w:r>
      <w:r w:rsidR="00F7022B">
        <w:rPr>
          <w:rFonts w:ascii="Times New Roman" w:hAnsi="Times New Roman"/>
          <w:sz w:val="28"/>
          <w:szCs w:val="28"/>
        </w:rPr>
        <w:t>)</w:t>
      </w:r>
      <w:r w:rsidR="005B47D0">
        <w:rPr>
          <w:rFonts w:ascii="Times New Roman" w:hAnsi="Times New Roman"/>
          <w:sz w:val="28"/>
          <w:szCs w:val="28"/>
        </w:rPr>
        <w:t xml:space="preserve"> </w:t>
      </w:r>
      <w:r w:rsidR="002E1585">
        <w:rPr>
          <w:rFonts w:ascii="Times New Roman" w:hAnsi="Times New Roman"/>
          <w:sz w:val="28"/>
          <w:szCs w:val="28"/>
        </w:rPr>
        <w:t xml:space="preserve">в досліджуваний період складають: в 2014 р. - </w:t>
      </w:r>
      <w:r w:rsidR="002E1585" w:rsidRPr="002E1585">
        <w:rPr>
          <w:rFonts w:ascii="Times New Roman" w:hAnsi="Times New Roman" w:cs="Times New Roman"/>
          <w:sz w:val="28"/>
          <w:szCs w:val="28"/>
        </w:rPr>
        <w:t>1476,2, в 2015 - 1493,3, в 2016 - 1477,1, в 2017 - 1453,9, в 2018 - 1485,7</w:t>
      </w:r>
      <w:r w:rsidR="002E1585">
        <w:rPr>
          <w:rFonts w:ascii="Times New Roman" w:hAnsi="Times New Roman"/>
          <w:sz w:val="28"/>
          <w:szCs w:val="28"/>
        </w:rPr>
        <w:t xml:space="preserve">. Насправді </w:t>
      </w:r>
      <w:r w:rsidR="00F7022B">
        <w:rPr>
          <w:rFonts w:ascii="Times New Roman" w:hAnsi="Times New Roman"/>
          <w:sz w:val="28"/>
          <w:szCs w:val="28"/>
        </w:rPr>
        <w:t xml:space="preserve">ж в таблиці </w:t>
      </w:r>
      <w:r w:rsidR="002E1585">
        <w:rPr>
          <w:rFonts w:ascii="Times New Roman" w:hAnsi="Times New Roman"/>
          <w:sz w:val="28"/>
          <w:szCs w:val="28"/>
        </w:rPr>
        <w:t>наведено усереднені показники смертності</w:t>
      </w:r>
      <w:r w:rsidR="005B47D0" w:rsidRPr="002E1585">
        <w:rPr>
          <w:rFonts w:ascii="Times New Roman" w:hAnsi="Times New Roman"/>
          <w:sz w:val="28"/>
          <w:szCs w:val="28"/>
        </w:rPr>
        <w:t xml:space="preserve"> </w:t>
      </w:r>
      <w:r w:rsidR="005B47D0">
        <w:rPr>
          <w:rFonts w:ascii="Times New Roman" w:hAnsi="Times New Roman"/>
          <w:sz w:val="28"/>
          <w:szCs w:val="28"/>
        </w:rPr>
        <w:t>[</w:t>
      </w:r>
      <w:r w:rsidR="00EC44FE">
        <w:rPr>
          <w:rFonts w:ascii="Times New Roman" w:hAnsi="Times New Roman"/>
          <w:sz w:val="28"/>
          <w:szCs w:val="28"/>
        </w:rPr>
        <w:t>5</w:t>
      </w:r>
      <w:r w:rsidR="005B47D0">
        <w:rPr>
          <w:rFonts w:ascii="Times New Roman" w:hAnsi="Times New Roman"/>
          <w:sz w:val="28"/>
          <w:szCs w:val="28"/>
        </w:rPr>
        <w:t>]</w:t>
      </w:r>
      <w:r w:rsidR="002E1585">
        <w:rPr>
          <w:rFonts w:ascii="Times New Roman" w:hAnsi="Times New Roman"/>
          <w:sz w:val="28"/>
          <w:szCs w:val="28"/>
        </w:rPr>
        <w:t xml:space="preserve">. В дійсності, </w:t>
      </w:r>
      <w:r w:rsidR="003A28CA">
        <w:rPr>
          <w:rFonts w:ascii="Times New Roman" w:hAnsi="Times New Roman"/>
          <w:sz w:val="28"/>
          <w:szCs w:val="28"/>
        </w:rPr>
        <w:t>насправді, кількість померлих за</w:t>
      </w:r>
      <w:r w:rsidR="002E1585">
        <w:rPr>
          <w:rFonts w:ascii="Times New Roman" w:hAnsi="Times New Roman"/>
          <w:sz w:val="28"/>
          <w:szCs w:val="28"/>
        </w:rPr>
        <w:t xml:space="preserve"> обома статями наведено у стовпчику «всього» (див. табл.1).</w:t>
      </w:r>
    </w:p>
    <w:p w:rsidR="005109FC" w:rsidRPr="005B47D0" w:rsidRDefault="005109FC" w:rsidP="008B724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47D0" w:rsidRPr="005109FC" w:rsidRDefault="005109FC" w:rsidP="005109FC">
      <w:pPr>
        <w:spacing w:after="0" w:line="36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109FC">
        <w:rPr>
          <w:rFonts w:ascii="Times New Roman" w:hAnsi="Times New Roman"/>
          <w:b/>
          <w:sz w:val="28"/>
          <w:szCs w:val="28"/>
        </w:rPr>
        <w:t>Таблиця 1</w:t>
      </w:r>
    </w:p>
    <w:p w:rsidR="005109FC" w:rsidRPr="005109FC" w:rsidRDefault="005109FC" w:rsidP="005109FC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109FC">
        <w:rPr>
          <w:rFonts w:ascii="Times New Roman" w:hAnsi="Times New Roman"/>
          <w:b/>
          <w:sz w:val="28"/>
          <w:szCs w:val="28"/>
        </w:rPr>
        <w:t>Смертність</w:t>
      </w:r>
      <w:r w:rsidR="00517467">
        <w:rPr>
          <w:rFonts w:ascii="Times New Roman" w:hAnsi="Times New Roman"/>
          <w:b/>
          <w:sz w:val="28"/>
          <w:szCs w:val="28"/>
        </w:rPr>
        <w:t xml:space="preserve"> населення України за 2014-2018 </w:t>
      </w:r>
      <w:proofErr w:type="spellStart"/>
      <w:r w:rsidR="00517467">
        <w:rPr>
          <w:rFonts w:ascii="Times New Roman" w:hAnsi="Times New Roman"/>
          <w:b/>
          <w:sz w:val="28"/>
          <w:szCs w:val="28"/>
        </w:rPr>
        <w:t>р.р</w:t>
      </w:r>
      <w:proofErr w:type="spellEnd"/>
      <w:r w:rsidR="00517467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2721"/>
        <w:gridCol w:w="3055"/>
        <w:gridCol w:w="2044"/>
      </w:tblGrid>
      <w:tr w:rsidR="005109FC" w:rsidTr="00EC44FE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014" w:type="dxa"/>
            <w:vMerge w:val="restart"/>
          </w:tcPr>
          <w:p w:rsidR="00F7022B" w:rsidRDefault="00F7022B" w:rsidP="005109FC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9FC" w:rsidRDefault="005109FC" w:rsidP="005109FC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Рік</w:t>
            </w:r>
          </w:p>
          <w:p w:rsidR="005109FC" w:rsidRDefault="005109FC" w:rsidP="005109FC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0" w:type="dxa"/>
            <w:gridSpan w:val="3"/>
          </w:tcPr>
          <w:p w:rsidR="005109FC" w:rsidRDefault="005109FC" w:rsidP="00F7022B">
            <w:pPr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Смертність на 100 000 населення</w:t>
            </w:r>
          </w:p>
        </w:tc>
      </w:tr>
      <w:tr w:rsidR="005109FC" w:rsidTr="00EC44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14" w:type="dxa"/>
            <w:vMerge/>
          </w:tcPr>
          <w:p w:rsidR="005109FC" w:rsidRDefault="005109FC" w:rsidP="005109FC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5109FC" w:rsidRDefault="005109FC" w:rsidP="00F702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чоловіків</w:t>
            </w:r>
          </w:p>
        </w:tc>
        <w:tc>
          <w:tcPr>
            <w:tcW w:w="3055" w:type="dxa"/>
          </w:tcPr>
          <w:p w:rsidR="005109FC" w:rsidRDefault="005109FC" w:rsidP="00F702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жінок</w:t>
            </w:r>
          </w:p>
        </w:tc>
        <w:tc>
          <w:tcPr>
            <w:tcW w:w="2044" w:type="dxa"/>
          </w:tcPr>
          <w:p w:rsidR="005109FC" w:rsidRDefault="005109FC" w:rsidP="00F702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</w:tr>
      <w:tr w:rsidR="005109FC" w:rsidTr="00EC44F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14" w:type="dxa"/>
          </w:tcPr>
          <w:p w:rsidR="005109FC" w:rsidRDefault="000A4E1E" w:rsidP="00EC44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721" w:type="dxa"/>
          </w:tcPr>
          <w:p w:rsidR="005109FC" w:rsidRPr="000A4E1E" w:rsidRDefault="000A4E1E" w:rsidP="00EC4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1E">
              <w:rPr>
                <w:rFonts w:ascii="Times New Roman" w:hAnsi="Times New Roman" w:cs="Times New Roman"/>
                <w:sz w:val="28"/>
                <w:szCs w:val="28"/>
              </w:rPr>
              <w:t>1567,8</w:t>
            </w:r>
          </w:p>
        </w:tc>
        <w:tc>
          <w:tcPr>
            <w:tcW w:w="3055" w:type="dxa"/>
          </w:tcPr>
          <w:p w:rsidR="005109FC" w:rsidRPr="000A4E1E" w:rsidRDefault="000A4E1E" w:rsidP="00EC4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1E">
              <w:rPr>
                <w:rFonts w:ascii="Times New Roman" w:hAnsi="Times New Roman" w:cs="Times New Roman"/>
                <w:sz w:val="28"/>
                <w:szCs w:val="28"/>
              </w:rPr>
              <w:t>1397,4</w:t>
            </w:r>
          </w:p>
        </w:tc>
        <w:tc>
          <w:tcPr>
            <w:tcW w:w="2044" w:type="dxa"/>
          </w:tcPr>
          <w:p w:rsidR="005109FC" w:rsidRPr="000A4E1E" w:rsidRDefault="003A28CA" w:rsidP="00EC44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2964,8</w:t>
            </w:r>
          </w:p>
        </w:tc>
      </w:tr>
      <w:tr w:rsidR="000A4E1E" w:rsidTr="00EC44FE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14" w:type="dxa"/>
          </w:tcPr>
          <w:p w:rsidR="000A4E1E" w:rsidRDefault="000A4E1E" w:rsidP="00EC44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721" w:type="dxa"/>
          </w:tcPr>
          <w:p w:rsidR="000A4E1E" w:rsidRPr="000A4E1E" w:rsidRDefault="000A4E1E" w:rsidP="00EC4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1E">
              <w:rPr>
                <w:rFonts w:ascii="Times New Roman" w:hAnsi="Times New Roman" w:cs="Times New Roman"/>
                <w:sz w:val="28"/>
                <w:szCs w:val="28"/>
              </w:rPr>
              <w:t>1577,6</w:t>
            </w:r>
          </w:p>
        </w:tc>
        <w:tc>
          <w:tcPr>
            <w:tcW w:w="3055" w:type="dxa"/>
          </w:tcPr>
          <w:p w:rsidR="000A4E1E" w:rsidRPr="000A4E1E" w:rsidRDefault="000A4E1E" w:rsidP="00EC4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1E">
              <w:rPr>
                <w:rFonts w:ascii="Times New Roman" w:hAnsi="Times New Roman" w:cs="Times New Roman"/>
                <w:sz w:val="28"/>
                <w:szCs w:val="28"/>
              </w:rPr>
              <w:t>1420,3</w:t>
            </w:r>
          </w:p>
        </w:tc>
        <w:tc>
          <w:tcPr>
            <w:tcW w:w="2044" w:type="dxa"/>
          </w:tcPr>
          <w:p w:rsidR="000A4E1E" w:rsidRPr="000A4E1E" w:rsidRDefault="003A28CA" w:rsidP="00EC44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2997,9</w:t>
            </w:r>
          </w:p>
        </w:tc>
      </w:tr>
      <w:tr w:rsidR="000A4E1E" w:rsidTr="00EC44F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014" w:type="dxa"/>
          </w:tcPr>
          <w:p w:rsidR="000A4E1E" w:rsidRDefault="000A4E1E" w:rsidP="00EC44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721" w:type="dxa"/>
          </w:tcPr>
          <w:p w:rsidR="000A4E1E" w:rsidRPr="000A4E1E" w:rsidRDefault="000A4E1E" w:rsidP="00EC4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1E">
              <w:rPr>
                <w:rFonts w:ascii="Times New Roman" w:hAnsi="Times New Roman" w:cs="Times New Roman"/>
                <w:sz w:val="28"/>
                <w:szCs w:val="28"/>
              </w:rPr>
              <w:t>1557,1</w:t>
            </w:r>
          </w:p>
        </w:tc>
        <w:tc>
          <w:tcPr>
            <w:tcW w:w="3055" w:type="dxa"/>
          </w:tcPr>
          <w:p w:rsidR="000A4E1E" w:rsidRPr="000A4E1E" w:rsidRDefault="000A4E1E" w:rsidP="00EC4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1E">
              <w:rPr>
                <w:rFonts w:ascii="Times New Roman" w:hAnsi="Times New Roman" w:cs="Times New Roman"/>
                <w:sz w:val="28"/>
                <w:szCs w:val="28"/>
              </w:rPr>
              <w:t>1407,7</w:t>
            </w:r>
          </w:p>
        </w:tc>
        <w:tc>
          <w:tcPr>
            <w:tcW w:w="2044" w:type="dxa"/>
          </w:tcPr>
          <w:p w:rsidR="000A4E1E" w:rsidRPr="000A4E1E" w:rsidRDefault="003A28CA" w:rsidP="00EC44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2964,8</w:t>
            </w:r>
          </w:p>
        </w:tc>
      </w:tr>
      <w:tr w:rsidR="000A4E1E" w:rsidTr="00EC44F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014" w:type="dxa"/>
          </w:tcPr>
          <w:p w:rsidR="000A4E1E" w:rsidRDefault="000A4E1E" w:rsidP="00EC44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721" w:type="dxa"/>
          </w:tcPr>
          <w:p w:rsidR="000A4E1E" w:rsidRPr="000A4E1E" w:rsidRDefault="000A4E1E" w:rsidP="00EC4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1E">
              <w:rPr>
                <w:rFonts w:ascii="Times New Roman" w:hAnsi="Times New Roman" w:cs="Times New Roman"/>
                <w:sz w:val="28"/>
                <w:szCs w:val="28"/>
              </w:rPr>
              <w:t>1534,9</w:t>
            </w:r>
          </w:p>
        </w:tc>
        <w:tc>
          <w:tcPr>
            <w:tcW w:w="3055" w:type="dxa"/>
          </w:tcPr>
          <w:p w:rsidR="000A4E1E" w:rsidRPr="000A4E1E" w:rsidRDefault="000A4E1E" w:rsidP="00EC4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1E">
              <w:rPr>
                <w:rFonts w:ascii="Times New Roman" w:hAnsi="Times New Roman" w:cs="Times New Roman"/>
                <w:sz w:val="28"/>
                <w:szCs w:val="28"/>
              </w:rPr>
              <w:t>1383,6</w:t>
            </w:r>
          </w:p>
        </w:tc>
        <w:tc>
          <w:tcPr>
            <w:tcW w:w="2044" w:type="dxa"/>
          </w:tcPr>
          <w:p w:rsidR="000A4E1E" w:rsidRPr="000A4E1E" w:rsidRDefault="003A28CA" w:rsidP="00EC44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2918,5</w:t>
            </w:r>
          </w:p>
        </w:tc>
      </w:tr>
      <w:tr w:rsidR="000A4E1E" w:rsidTr="00EC44F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014" w:type="dxa"/>
          </w:tcPr>
          <w:p w:rsidR="000A4E1E" w:rsidRDefault="000A4E1E" w:rsidP="00EC44F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721" w:type="dxa"/>
          </w:tcPr>
          <w:p w:rsidR="000A4E1E" w:rsidRPr="000A4E1E" w:rsidRDefault="000A4E1E" w:rsidP="00EC4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1E">
              <w:rPr>
                <w:rFonts w:ascii="Times New Roman" w:hAnsi="Times New Roman" w:cs="Times New Roman"/>
                <w:sz w:val="28"/>
                <w:szCs w:val="28"/>
              </w:rPr>
              <w:t>1579,5</w:t>
            </w:r>
          </w:p>
        </w:tc>
        <w:tc>
          <w:tcPr>
            <w:tcW w:w="3055" w:type="dxa"/>
          </w:tcPr>
          <w:p w:rsidR="000A4E1E" w:rsidRPr="000A4E1E" w:rsidRDefault="000A4E1E" w:rsidP="00EC44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1E">
              <w:rPr>
                <w:rFonts w:ascii="Times New Roman" w:hAnsi="Times New Roman" w:cs="Times New Roman"/>
                <w:sz w:val="28"/>
                <w:szCs w:val="28"/>
              </w:rPr>
              <w:t>1404,2</w:t>
            </w:r>
          </w:p>
        </w:tc>
        <w:tc>
          <w:tcPr>
            <w:tcW w:w="2044" w:type="dxa"/>
          </w:tcPr>
          <w:p w:rsidR="000A4E1E" w:rsidRPr="000A4E1E" w:rsidRDefault="003A28CA" w:rsidP="00EC44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2983,7</w:t>
            </w:r>
          </w:p>
        </w:tc>
      </w:tr>
    </w:tbl>
    <w:p w:rsidR="005109FC" w:rsidRDefault="005109FC" w:rsidP="008B724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B0F82" w:rsidRDefault="00AB0F82" w:rsidP="00A5653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63A" w:rsidRPr="00D55621" w:rsidRDefault="003A28CA" w:rsidP="00A5653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реальна кількість померлих з різних причин смерті в період з 2014 р. по 2018 стабільно складала 2,9 % на 100 000 населення.</w:t>
      </w:r>
      <w:r w:rsidR="00A56537">
        <w:rPr>
          <w:rFonts w:ascii="Times New Roman" w:hAnsi="Times New Roman" w:cs="Times New Roman"/>
          <w:sz w:val="28"/>
          <w:szCs w:val="28"/>
        </w:rPr>
        <w:t xml:space="preserve"> </w:t>
      </w:r>
      <w:r w:rsidR="0017063A">
        <w:rPr>
          <w:rFonts w:ascii="Times New Roman" w:hAnsi="Times New Roman" w:cs="Times New Roman"/>
          <w:sz w:val="28"/>
          <w:szCs w:val="28"/>
        </w:rPr>
        <w:t xml:space="preserve">Згідно даних зі Збірника, в 2018 р. всього померло </w:t>
      </w:r>
      <w:r w:rsidR="0017063A" w:rsidRPr="00520F69">
        <w:rPr>
          <w:rFonts w:ascii="Times New Roman" w:hAnsi="Times New Roman" w:cs="Times New Roman"/>
          <w:sz w:val="28"/>
          <w:szCs w:val="28"/>
        </w:rPr>
        <w:t>1485,7</w:t>
      </w:r>
      <w:r w:rsidR="0017063A">
        <w:rPr>
          <w:rFonts w:ascii="Times New Roman" w:hAnsi="Times New Roman" w:cs="Times New Roman"/>
          <w:sz w:val="28"/>
          <w:szCs w:val="28"/>
        </w:rPr>
        <w:t xml:space="preserve"> осіб різного віку (на 100 000 населення), з них внаслідок: інфекційних та деяких паразитарних хвороб - </w:t>
      </w:r>
      <w:r w:rsidR="0017063A" w:rsidRPr="0017063A">
        <w:rPr>
          <w:rFonts w:ascii="Times New Roman" w:hAnsi="Times New Roman" w:cs="Times New Roman"/>
          <w:sz w:val="28"/>
          <w:szCs w:val="28"/>
        </w:rPr>
        <w:t>22,8;  туберкульозу – 9,4; ВІЛ/СНІДу – 9,9; новоутворень – 201,</w:t>
      </w:r>
      <w:r w:rsidR="00D409BE">
        <w:rPr>
          <w:rFonts w:ascii="Times New Roman" w:hAnsi="Times New Roman" w:cs="Times New Roman"/>
          <w:sz w:val="28"/>
          <w:szCs w:val="28"/>
        </w:rPr>
        <w:t xml:space="preserve">2, хвороб систем кровообігу – 1000,8 (з них від ішемічної хвороби серця - </w:t>
      </w:r>
      <w:r w:rsidR="00D409BE" w:rsidRPr="00D55621">
        <w:rPr>
          <w:rFonts w:ascii="Times New Roman" w:hAnsi="Times New Roman" w:cs="Times New Roman"/>
          <w:sz w:val="28"/>
          <w:szCs w:val="28"/>
        </w:rPr>
        <w:t xml:space="preserve">696,2; </w:t>
      </w:r>
      <w:proofErr w:type="spellStart"/>
      <w:r w:rsidR="00D409BE" w:rsidRPr="00D55621">
        <w:rPr>
          <w:rFonts w:ascii="Times New Roman" w:hAnsi="Times New Roman" w:cs="Times New Roman"/>
          <w:sz w:val="28"/>
          <w:szCs w:val="28"/>
        </w:rPr>
        <w:t>церебро-васкулярних</w:t>
      </w:r>
      <w:proofErr w:type="spellEnd"/>
      <w:r w:rsidR="00D409BE" w:rsidRPr="00D55621">
        <w:rPr>
          <w:rFonts w:ascii="Times New Roman" w:hAnsi="Times New Roman" w:cs="Times New Roman"/>
          <w:sz w:val="28"/>
          <w:szCs w:val="28"/>
        </w:rPr>
        <w:t xml:space="preserve"> хвороб - 182,0); хвороб органів дихання – 33,3 та хвороб органів травлення – 61,5.</w:t>
      </w:r>
    </w:p>
    <w:p w:rsidR="005163B8" w:rsidRDefault="00D409BE" w:rsidP="008776F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621">
        <w:rPr>
          <w:rFonts w:ascii="Times New Roman" w:hAnsi="Times New Roman" w:cs="Times New Roman"/>
          <w:sz w:val="28"/>
          <w:szCs w:val="28"/>
        </w:rPr>
        <w:t xml:space="preserve">З зовнішніх чинників настала смерть  79,6 осіб на 100 000 населення, в т.ч.: внаслідок транспортних нещасних випадків - 10,5;  випадкових утоплень - 4,3;  випадкових отруєнь - 11,6;  навмисного само ушкодження - 16,1; </w:t>
      </w:r>
      <w:r w:rsidR="00D55621" w:rsidRPr="00D55621">
        <w:rPr>
          <w:rFonts w:ascii="Times New Roman" w:hAnsi="Times New Roman" w:cs="Times New Roman"/>
          <w:sz w:val="28"/>
          <w:szCs w:val="28"/>
        </w:rPr>
        <w:t xml:space="preserve">внаслідок нападів з метою вбивства та спричинення ушкоджень - 4,2; випадків нанесення </w:t>
      </w:r>
      <w:r w:rsidR="00D55621" w:rsidRPr="00711D75">
        <w:rPr>
          <w:rFonts w:ascii="Times New Roman" w:hAnsi="Times New Roman" w:cs="Times New Roman"/>
          <w:sz w:val="28"/>
          <w:szCs w:val="28"/>
        </w:rPr>
        <w:t>ушкоджень з невизначеним наміром - 14,9.</w:t>
      </w:r>
    </w:p>
    <w:p w:rsidR="003D074F" w:rsidRDefault="00D409BE" w:rsidP="003D074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судово-медичної та юридичної точок зору дані, подані у Збірнику недосконалі, оскільки не відображають точно та повно причини смерті </w:t>
      </w:r>
      <w:r w:rsidR="00D556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D55621">
        <w:rPr>
          <w:rFonts w:ascii="Times New Roman" w:hAnsi="Times New Roman" w:cs="Times New Roman"/>
          <w:sz w:val="28"/>
          <w:szCs w:val="28"/>
        </w:rPr>
        <w:t xml:space="preserve">не враховані випадки смертей внаслідок падінь з висоти, механічної асфіксії, які складають в середньому до 30-35 % всієї насильницької смертності); не пояснюють, з якої кількості населення України взагалі у досліджуваних роках розраховували ці дані; </w:t>
      </w:r>
      <w:r>
        <w:rPr>
          <w:rFonts w:ascii="Times New Roman" w:hAnsi="Times New Roman" w:cs="Times New Roman"/>
          <w:sz w:val="28"/>
          <w:szCs w:val="28"/>
        </w:rPr>
        <w:t>тому н</w:t>
      </w:r>
      <w:r w:rsidR="00D55621">
        <w:rPr>
          <w:rFonts w:ascii="Times New Roman" w:hAnsi="Times New Roman" w:cs="Times New Roman"/>
          <w:sz w:val="28"/>
          <w:szCs w:val="28"/>
        </w:rPr>
        <w:t>е відображають істинні значення смертності населення через ці причини.</w:t>
      </w:r>
      <w:r w:rsidR="00E9076D">
        <w:rPr>
          <w:rFonts w:ascii="Times New Roman" w:hAnsi="Times New Roman" w:cs="Times New Roman"/>
          <w:sz w:val="28"/>
          <w:szCs w:val="28"/>
        </w:rPr>
        <w:t xml:space="preserve"> </w:t>
      </w:r>
      <w:r w:rsidR="000839D7">
        <w:rPr>
          <w:rFonts w:ascii="Times New Roman" w:hAnsi="Times New Roman" w:cs="Times New Roman"/>
          <w:sz w:val="28"/>
          <w:szCs w:val="28"/>
        </w:rPr>
        <w:t xml:space="preserve">Нажаль, дані таблиці не містять відомостей про несмертельне травмування осіб, </w:t>
      </w:r>
      <w:r w:rsidR="002E6582">
        <w:rPr>
          <w:rFonts w:ascii="Times New Roman" w:hAnsi="Times New Roman" w:cs="Times New Roman"/>
          <w:sz w:val="28"/>
          <w:szCs w:val="28"/>
        </w:rPr>
        <w:t>та кримінальне походження травмування, які також знижують</w:t>
      </w:r>
      <w:r w:rsidR="000839D7">
        <w:rPr>
          <w:rFonts w:ascii="Times New Roman" w:hAnsi="Times New Roman" w:cs="Times New Roman"/>
          <w:sz w:val="28"/>
          <w:szCs w:val="28"/>
        </w:rPr>
        <w:t xml:space="preserve"> рівень </w:t>
      </w:r>
      <w:proofErr w:type="spellStart"/>
      <w:r w:rsidR="000839D7"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 w:rsidR="000839D7">
        <w:rPr>
          <w:rFonts w:ascii="Times New Roman" w:hAnsi="Times New Roman" w:cs="Times New Roman"/>
          <w:sz w:val="28"/>
          <w:szCs w:val="28"/>
        </w:rPr>
        <w:t xml:space="preserve"> людини, </w:t>
      </w:r>
      <w:r w:rsidR="002E6582">
        <w:rPr>
          <w:rFonts w:ascii="Times New Roman" w:hAnsi="Times New Roman" w:cs="Times New Roman"/>
          <w:sz w:val="28"/>
          <w:szCs w:val="28"/>
        </w:rPr>
        <w:t>оскільки він</w:t>
      </w:r>
      <w:r w:rsidR="000839D7">
        <w:rPr>
          <w:rFonts w:ascii="Times New Roman" w:hAnsi="Times New Roman" w:cs="Times New Roman"/>
          <w:sz w:val="28"/>
          <w:szCs w:val="28"/>
        </w:rPr>
        <w:t xml:space="preserve"> може ускладнитись тяжкими наслідками для здоров</w:t>
      </w:r>
      <w:r w:rsidR="000839D7" w:rsidRPr="00012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2E6582">
        <w:rPr>
          <w:rFonts w:ascii="Times New Roman" w:hAnsi="Times New Roman" w:cs="Times New Roman"/>
          <w:sz w:val="28"/>
          <w:szCs w:val="28"/>
        </w:rPr>
        <w:t>я та</w:t>
      </w:r>
      <w:r w:rsidR="00E9076D">
        <w:rPr>
          <w:rFonts w:ascii="Times New Roman" w:hAnsi="Times New Roman" w:cs="Times New Roman"/>
          <w:sz w:val="28"/>
          <w:szCs w:val="28"/>
        </w:rPr>
        <w:t xml:space="preserve"> призвести до </w:t>
      </w:r>
      <w:proofErr w:type="spellStart"/>
      <w:r w:rsidR="00E9076D">
        <w:rPr>
          <w:rFonts w:ascii="Times New Roman" w:hAnsi="Times New Roman" w:cs="Times New Roman"/>
          <w:sz w:val="28"/>
          <w:szCs w:val="28"/>
        </w:rPr>
        <w:t>інваліди</w:t>
      </w:r>
      <w:r w:rsidR="000839D7">
        <w:rPr>
          <w:rFonts w:ascii="Times New Roman" w:hAnsi="Times New Roman" w:cs="Times New Roman"/>
          <w:sz w:val="28"/>
          <w:szCs w:val="28"/>
        </w:rPr>
        <w:t>зації</w:t>
      </w:r>
      <w:proofErr w:type="spellEnd"/>
      <w:r w:rsidR="000839D7">
        <w:rPr>
          <w:rFonts w:ascii="Times New Roman" w:hAnsi="Times New Roman" w:cs="Times New Roman"/>
          <w:sz w:val="28"/>
          <w:szCs w:val="28"/>
        </w:rPr>
        <w:t>)</w:t>
      </w:r>
      <w:r w:rsidR="00FD2299">
        <w:rPr>
          <w:rFonts w:ascii="Times New Roman" w:hAnsi="Times New Roman" w:cs="Times New Roman"/>
          <w:sz w:val="28"/>
          <w:szCs w:val="28"/>
        </w:rPr>
        <w:t>.</w:t>
      </w:r>
      <w:r w:rsidR="003D074F">
        <w:rPr>
          <w:rFonts w:ascii="Times New Roman" w:hAnsi="Times New Roman" w:cs="Times New Roman"/>
          <w:sz w:val="28"/>
          <w:szCs w:val="28"/>
        </w:rPr>
        <w:t xml:space="preserve"> Але, й в</w:t>
      </w:r>
      <w:r w:rsidR="003D074F" w:rsidRPr="00711D75">
        <w:rPr>
          <w:rFonts w:ascii="Times New Roman" w:hAnsi="Times New Roman" w:cs="Times New Roman"/>
          <w:sz w:val="28"/>
          <w:szCs w:val="28"/>
        </w:rPr>
        <w:t xml:space="preserve"> юридичних джерелах міститься висновок, що: «Несистемне, з перервами у декілька років оприлюднення </w:t>
      </w:r>
      <w:proofErr w:type="spellStart"/>
      <w:r w:rsidR="003D074F" w:rsidRPr="00711D75">
        <w:rPr>
          <w:rFonts w:ascii="Times New Roman" w:hAnsi="Times New Roman" w:cs="Times New Roman"/>
          <w:sz w:val="28"/>
          <w:szCs w:val="28"/>
        </w:rPr>
        <w:t>Держстатом</w:t>
      </w:r>
      <w:proofErr w:type="spellEnd"/>
      <w:r w:rsidR="003D074F" w:rsidRPr="00711D75">
        <w:rPr>
          <w:rFonts w:ascii="Times New Roman" w:hAnsi="Times New Roman" w:cs="Times New Roman"/>
          <w:sz w:val="28"/>
          <w:szCs w:val="28"/>
        </w:rPr>
        <w:t xml:space="preserve"> статистичних збірників, які містять дані щодо правосуддя та злочинності в Україні, та їх зміст свідчать про те, що кримінальні правопорушення, діяльність органів правопорядку та правосуддя, а також державних органів, які здійснюють виконання судових рішень, не виступають як об’єкти постійного і комплексного статистичного спостереження та аналізу </w:t>
      </w:r>
      <w:proofErr w:type="spellStart"/>
      <w:r w:rsidR="003D074F" w:rsidRPr="00711D75">
        <w:rPr>
          <w:rFonts w:ascii="Times New Roman" w:hAnsi="Times New Roman" w:cs="Times New Roman"/>
          <w:sz w:val="28"/>
          <w:szCs w:val="28"/>
        </w:rPr>
        <w:t>Держстатом</w:t>
      </w:r>
      <w:proofErr w:type="spellEnd"/>
      <w:r w:rsidR="003D074F" w:rsidRPr="00711D75">
        <w:rPr>
          <w:rFonts w:ascii="Times New Roman" w:hAnsi="Times New Roman" w:cs="Times New Roman"/>
          <w:sz w:val="28"/>
          <w:szCs w:val="28"/>
        </w:rPr>
        <w:t>» [</w:t>
      </w:r>
      <w:r w:rsidR="008169A2">
        <w:rPr>
          <w:rFonts w:ascii="Times New Roman" w:hAnsi="Times New Roman" w:cs="Times New Roman"/>
          <w:sz w:val="28"/>
          <w:szCs w:val="28"/>
        </w:rPr>
        <w:t>6, с. 19</w:t>
      </w:r>
      <w:r w:rsidR="003D074F" w:rsidRPr="00711D75">
        <w:rPr>
          <w:rFonts w:ascii="Times New Roman" w:hAnsi="Times New Roman" w:cs="Times New Roman"/>
          <w:sz w:val="28"/>
          <w:szCs w:val="28"/>
        </w:rPr>
        <w:t>]</w:t>
      </w:r>
      <w:r w:rsidR="00A56537">
        <w:rPr>
          <w:rFonts w:ascii="Times New Roman" w:hAnsi="Times New Roman" w:cs="Times New Roman"/>
          <w:sz w:val="28"/>
          <w:szCs w:val="28"/>
        </w:rPr>
        <w:t>.</w:t>
      </w:r>
    </w:p>
    <w:p w:rsidR="003D074F" w:rsidRDefault="003D074F" w:rsidP="00F9651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даними авторитетних юристів, від вчинених у 2018 році злочинів потерпіло 344 780 осіб, (у тому числі 5 918 дітей), з яких 6 233 особи загинуло. Причому, 40,2% громадян, які потерпіли від злочинних посягань, за даними </w:t>
      </w:r>
      <w:proofErr w:type="spellStart"/>
      <w:r w:rsidRPr="006F7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інтернет-видання</w:t>
      </w:r>
      <w:proofErr w:type="spellEnd"/>
      <w:r w:rsidRPr="006F7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7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Цензор-нет</w:t>
      </w:r>
      <w:proofErr w:type="spellEnd"/>
      <w:r w:rsidRPr="006F7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взагалі не звертаються із заявами до поліції у зв’язку недовірою</w:t>
      </w:r>
      <w:r w:rsidRPr="006F7331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val="ru-RU" w:eastAsia="uk-UA"/>
        </w:rPr>
        <w:t xml:space="preserve"> [</w:t>
      </w:r>
      <w:r w:rsidR="00A56537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8"/>
          <w:szCs w:val="28"/>
          <w:lang w:val="ru-RU" w:eastAsia="uk-UA"/>
        </w:rPr>
        <w:t>7</w:t>
      </w:r>
      <w:r w:rsidRPr="006F7331">
        <w:rPr>
          <w:rFonts w:ascii="Times New Roman" w:hAnsi="Times New Roman" w:cs="Times New Roman"/>
          <w:sz w:val="28"/>
          <w:szCs w:val="28"/>
        </w:rPr>
        <w:t>].</w:t>
      </w:r>
    </w:p>
    <w:p w:rsidR="00D55621" w:rsidRPr="003D074F" w:rsidRDefault="003D074F" w:rsidP="003D074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при аналізі кримінальних чинників порушення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стає очевидним, що 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3D074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необхідно враховувати при плануванні зниження рівня безпеки людей.</w:t>
      </w:r>
    </w:p>
    <w:p w:rsidR="003D074F" w:rsidRPr="00567A5F" w:rsidRDefault="00FD2299" w:rsidP="00567A5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Судово-медичні класифікації травм включають травми від дії фізичних та хімічних чинників. Однак, всім відомо, що реалії</w:t>
      </w:r>
      <w:r w:rsidR="00367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сучасного життя призводять до значного психічного навантаження населення й внаслідок цього – до психічних стресів та захворювань. </w:t>
      </w:r>
      <w:r w:rsidR="00E0066B">
        <w:rPr>
          <w:rFonts w:ascii="Times New Roman" w:hAnsi="Times New Roman" w:cs="Times New Roman"/>
          <w:sz w:val="28"/>
          <w:szCs w:val="28"/>
        </w:rPr>
        <w:t xml:space="preserve">Особливо, потреба в психолого-психіатричній допомозі зросла, починаючи з 2014 р., з початком війни на сході. </w:t>
      </w:r>
      <w:r w:rsidR="00C3247A">
        <w:rPr>
          <w:rFonts w:ascii="Times New Roman" w:hAnsi="Times New Roman" w:cs="Times New Roman"/>
          <w:sz w:val="28"/>
          <w:szCs w:val="28"/>
        </w:rPr>
        <w:t xml:space="preserve">За даними </w:t>
      </w:r>
      <w:proofErr w:type="spellStart"/>
      <w:r w:rsidR="00C3247A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="00C3247A">
        <w:rPr>
          <w:rFonts w:ascii="Times New Roman" w:hAnsi="Times New Roman" w:cs="Times New Roman"/>
          <w:sz w:val="28"/>
          <w:szCs w:val="28"/>
        </w:rPr>
        <w:t xml:space="preserve">, в 2017 р. психологи підвищували кваліфікаційний рівень для лікування </w:t>
      </w:r>
      <w:proofErr w:type="spellStart"/>
      <w:r w:rsidR="00C3247A">
        <w:rPr>
          <w:rFonts w:ascii="Times New Roman" w:hAnsi="Times New Roman" w:cs="Times New Roman"/>
          <w:sz w:val="28"/>
          <w:szCs w:val="28"/>
        </w:rPr>
        <w:t>психотравм</w:t>
      </w:r>
      <w:proofErr w:type="spellEnd"/>
      <w:r w:rsidR="00A72675">
        <w:rPr>
          <w:rFonts w:ascii="Times New Roman" w:hAnsi="Times New Roman" w:cs="Times New Roman"/>
          <w:sz w:val="28"/>
          <w:szCs w:val="28"/>
        </w:rPr>
        <w:t xml:space="preserve"> у населення</w:t>
      </w:r>
      <w:r w:rsidR="00C3247A">
        <w:rPr>
          <w:rFonts w:ascii="Times New Roman" w:hAnsi="Times New Roman" w:cs="Times New Roman"/>
          <w:sz w:val="28"/>
          <w:szCs w:val="28"/>
        </w:rPr>
        <w:t xml:space="preserve">, </w:t>
      </w:r>
      <w:r w:rsidR="00F96511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C3247A">
        <w:rPr>
          <w:rFonts w:ascii="Times New Roman" w:hAnsi="Times New Roman" w:cs="Times New Roman"/>
          <w:sz w:val="28"/>
          <w:szCs w:val="28"/>
        </w:rPr>
        <w:t>було створено</w:t>
      </w:r>
      <w:r w:rsidR="00A72675">
        <w:rPr>
          <w:rFonts w:ascii="Times New Roman" w:hAnsi="Times New Roman" w:cs="Times New Roman"/>
          <w:sz w:val="28"/>
          <w:szCs w:val="28"/>
        </w:rPr>
        <w:t>:</w:t>
      </w:r>
      <w:r w:rsidR="00C3247A">
        <w:rPr>
          <w:rFonts w:ascii="Times New Roman" w:hAnsi="Times New Roman" w:cs="Times New Roman"/>
          <w:sz w:val="28"/>
          <w:szCs w:val="28"/>
        </w:rPr>
        <w:t xml:space="preserve"> 2 тимчасових центри для осіб, що постраждали внаслідок гендерного насилля, 15 будинків для осіб похилого віку та інвалідів з метою надання психосоціальної підтримки [</w:t>
      </w:r>
      <w:r w:rsidR="00567A5F">
        <w:rPr>
          <w:rFonts w:ascii="Times New Roman" w:hAnsi="Times New Roman" w:cs="Times New Roman"/>
          <w:sz w:val="28"/>
          <w:szCs w:val="28"/>
        </w:rPr>
        <w:t>8, с. 33</w:t>
      </w:r>
      <w:r w:rsidR="00C3247A">
        <w:rPr>
          <w:rFonts w:ascii="Times New Roman" w:hAnsi="Times New Roman" w:cs="Times New Roman"/>
          <w:sz w:val="28"/>
          <w:szCs w:val="28"/>
        </w:rPr>
        <w:t>].</w:t>
      </w:r>
    </w:p>
    <w:p w:rsidR="008776FF" w:rsidRDefault="00F5127A" w:rsidP="00A72675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B27">
        <w:rPr>
          <w:rFonts w:ascii="Times New Roman" w:hAnsi="Times New Roman" w:cs="Times New Roman"/>
          <w:sz w:val="28"/>
          <w:szCs w:val="28"/>
        </w:rPr>
        <w:t>С</w:t>
      </w:r>
      <w:r w:rsidR="008776FF">
        <w:rPr>
          <w:rFonts w:ascii="Times New Roman" w:hAnsi="Times New Roman" w:cs="Times New Roman"/>
          <w:sz w:val="28"/>
          <w:szCs w:val="28"/>
        </w:rPr>
        <w:t xml:space="preserve">тосовно </w:t>
      </w:r>
      <w:proofErr w:type="spellStart"/>
      <w:r w:rsidR="008776FF">
        <w:rPr>
          <w:rFonts w:ascii="Times New Roman" w:hAnsi="Times New Roman" w:cs="Times New Roman"/>
          <w:sz w:val="28"/>
          <w:szCs w:val="28"/>
        </w:rPr>
        <w:t>біомедичного</w:t>
      </w:r>
      <w:proofErr w:type="spellEnd"/>
      <w:r w:rsidR="008776FF">
        <w:rPr>
          <w:rFonts w:ascii="Times New Roman" w:hAnsi="Times New Roman" w:cs="Times New Roman"/>
          <w:sz w:val="28"/>
          <w:szCs w:val="28"/>
        </w:rPr>
        <w:t xml:space="preserve"> напрямку підвищення рівня безпеки, с</w:t>
      </w:r>
      <w:r w:rsidRPr="00E60B27">
        <w:rPr>
          <w:rFonts w:ascii="Times New Roman" w:hAnsi="Times New Roman" w:cs="Times New Roman"/>
          <w:sz w:val="28"/>
          <w:szCs w:val="28"/>
        </w:rPr>
        <w:t xml:space="preserve">вого часу, у власних попередніх роботах вже йшлось про те, що  </w:t>
      </w:r>
      <w:r w:rsidR="00895425">
        <w:rPr>
          <w:rFonts w:ascii="Times New Roman" w:hAnsi="Times New Roman" w:cs="Times New Roman"/>
          <w:sz w:val="28"/>
          <w:szCs w:val="28"/>
        </w:rPr>
        <w:t xml:space="preserve">в сучасних реаліях </w:t>
      </w:r>
      <w:r w:rsidRPr="00E60B27">
        <w:rPr>
          <w:rFonts w:ascii="Times New Roman" w:hAnsi="Times New Roman" w:cs="Times New Roman"/>
          <w:sz w:val="28"/>
          <w:szCs w:val="28"/>
        </w:rPr>
        <w:t xml:space="preserve">необхідно знижувати </w:t>
      </w:r>
      <w:r w:rsidR="008776FF">
        <w:rPr>
          <w:rFonts w:ascii="Times New Roman" w:hAnsi="Times New Roman" w:cs="Times New Roman"/>
          <w:sz w:val="28"/>
          <w:szCs w:val="28"/>
        </w:rPr>
        <w:t xml:space="preserve">біологічний </w:t>
      </w:r>
      <w:r w:rsidRPr="00E60B27">
        <w:rPr>
          <w:rFonts w:ascii="Times New Roman" w:hAnsi="Times New Roman" w:cs="Times New Roman"/>
          <w:sz w:val="28"/>
          <w:szCs w:val="28"/>
        </w:rPr>
        <w:t>рівень небезпеки пацієнтів</w:t>
      </w:r>
      <w:r w:rsidR="00E60B27" w:rsidRPr="00E60B27">
        <w:rPr>
          <w:rFonts w:ascii="Times New Roman" w:hAnsi="Times New Roman" w:cs="Times New Roman"/>
          <w:sz w:val="28"/>
          <w:szCs w:val="28"/>
        </w:rPr>
        <w:t xml:space="preserve"> за рахунок надання якісних медичних послуг як в судовій, так і в клінічній медицині</w:t>
      </w:r>
      <w:r w:rsidR="002C29EA">
        <w:rPr>
          <w:rFonts w:ascii="Times New Roman" w:hAnsi="Times New Roman" w:cs="Times New Roman"/>
          <w:sz w:val="28"/>
          <w:szCs w:val="28"/>
        </w:rPr>
        <w:t xml:space="preserve"> </w:t>
      </w:r>
      <w:r w:rsidR="00D53FB1" w:rsidRPr="00E60B27">
        <w:rPr>
          <w:rFonts w:ascii="Times New Roman" w:hAnsi="Times New Roman" w:cs="Times New Roman"/>
          <w:sz w:val="28"/>
          <w:szCs w:val="28"/>
        </w:rPr>
        <w:t>[</w:t>
      </w:r>
      <w:r w:rsidR="00994AA8">
        <w:rPr>
          <w:rFonts w:ascii="Times New Roman" w:hAnsi="Times New Roman" w:cs="Times New Roman"/>
          <w:sz w:val="28"/>
          <w:szCs w:val="28"/>
        </w:rPr>
        <w:t>9, с. 167,</w:t>
      </w:r>
      <w:r w:rsidR="00567A5F">
        <w:rPr>
          <w:rFonts w:ascii="Times New Roman" w:hAnsi="Times New Roman" w:cs="Times New Roman"/>
          <w:sz w:val="28"/>
          <w:szCs w:val="28"/>
        </w:rPr>
        <w:t>168</w:t>
      </w:r>
      <w:r w:rsidR="00D53FB1" w:rsidRPr="00E60B27">
        <w:rPr>
          <w:rFonts w:ascii="Times New Roman" w:hAnsi="Times New Roman" w:cs="Times New Roman"/>
          <w:sz w:val="28"/>
          <w:szCs w:val="28"/>
        </w:rPr>
        <w:t xml:space="preserve">]. </w:t>
      </w:r>
      <w:r w:rsidRPr="00E60B27">
        <w:rPr>
          <w:rFonts w:ascii="Times New Roman" w:hAnsi="Times New Roman" w:cs="Times New Roman"/>
          <w:sz w:val="28"/>
          <w:szCs w:val="28"/>
        </w:rPr>
        <w:t xml:space="preserve"> </w:t>
      </w:r>
      <w:r w:rsidR="002C29EA">
        <w:rPr>
          <w:rFonts w:ascii="Times New Roman" w:hAnsi="Times New Roman" w:cs="Times New Roman"/>
          <w:sz w:val="28"/>
          <w:szCs w:val="28"/>
        </w:rPr>
        <w:t>Також, цілком очевидно, що в окремих питаннях (наприклад, тих, що торкаються шкідливих звичок</w:t>
      </w:r>
      <w:r w:rsidR="008776FF">
        <w:rPr>
          <w:rFonts w:ascii="Times New Roman" w:hAnsi="Times New Roman" w:cs="Times New Roman"/>
          <w:sz w:val="28"/>
          <w:szCs w:val="28"/>
        </w:rPr>
        <w:t xml:space="preserve">: паління, вживання алкоголю та </w:t>
      </w:r>
      <w:proofErr w:type="spellStart"/>
      <w:r w:rsidR="008776FF">
        <w:rPr>
          <w:rFonts w:ascii="Times New Roman" w:hAnsi="Times New Roman" w:cs="Times New Roman"/>
          <w:sz w:val="28"/>
          <w:szCs w:val="28"/>
        </w:rPr>
        <w:t>наркотичниї</w:t>
      </w:r>
      <w:proofErr w:type="spellEnd"/>
      <w:r w:rsidR="008776FF">
        <w:rPr>
          <w:rFonts w:ascii="Times New Roman" w:hAnsi="Times New Roman" w:cs="Times New Roman"/>
          <w:sz w:val="28"/>
          <w:szCs w:val="28"/>
        </w:rPr>
        <w:t xml:space="preserve"> речовин тощо</w:t>
      </w:r>
      <w:r w:rsidR="002C29EA">
        <w:rPr>
          <w:rFonts w:ascii="Times New Roman" w:hAnsi="Times New Roman" w:cs="Times New Roman"/>
          <w:sz w:val="28"/>
          <w:szCs w:val="28"/>
        </w:rPr>
        <w:t xml:space="preserve">) </w:t>
      </w:r>
      <w:r w:rsidR="008776FF">
        <w:rPr>
          <w:rFonts w:ascii="Times New Roman" w:hAnsi="Times New Roman" w:cs="Times New Roman"/>
          <w:sz w:val="28"/>
          <w:szCs w:val="28"/>
        </w:rPr>
        <w:t xml:space="preserve">для </w:t>
      </w:r>
      <w:r w:rsidR="002C29EA">
        <w:rPr>
          <w:rFonts w:ascii="Times New Roman" w:hAnsi="Times New Roman" w:cs="Times New Roman"/>
          <w:sz w:val="28"/>
          <w:szCs w:val="28"/>
        </w:rPr>
        <w:t>підвищення безпеки здоров</w:t>
      </w:r>
      <w:r w:rsidR="002C29EA" w:rsidRPr="002C29EA">
        <w:rPr>
          <w:rFonts w:ascii="Times New Roman" w:hAnsi="Times New Roman" w:cs="Times New Roman"/>
          <w:sz w:val="28"/>
          <w:szCs w:val="28"/>
        </w:rPr>
        <w:t>’</w:t>
      </w:r>
      <w:r w:rsidR="002C29EA">
        <w:rPr>
          <w:rFonts w:ascii="Times New Roman" w:hAnsi="Times New Roman" w:cs="Times New Roman"/>
          <w:sz w:val="28"/>
          <w:szCs w:val="28"/>
        </w:rPr>
        <w:t xml:space="preserve">ю людей, необхідна сумісна робота </w:t>
      </w:r>
      <w:r w:rsidR="00A72675">
        <w:rPr>
          <w:rFonts w:ascii="Times New Roman" w:hAnsi="Times New Roman" w:cs="Times New Roman"/>
          <w:sz w:val="28"/>
          <w:szCs w:val="28"/>
        </w:rPr>
        <w:t>як медиків і</w:t>
      </w:r>
      <w:r w:rsidR="002C29EA">
        <w:rPr>
          <w:rFonts w:ascii="Times New Roman" w:hAnsi="Times New Roman" w:cs="Times New Roman"/>
          <w:sz w:val="28"/>
          <w:szCs w:val="28"/>
        </w:rPr>
        <w:t xml:space="preserve"> юристів, </w:t>
      </w:r>
      <w:r w:rsidR="00A72675">
        <w:rPr>
          <w:rFonts w:ascii="Times New Roman" w:hAnsi="Times New Roman" w:cs="Times New Roman"/>
          <w:sz w:val="28"/>
          <w:szCs w:val="28"/>
        </w:rPr>
        <w:t xml:space="preserve">так і </w:t>
      </w:r>
      <w:r w:rsidR="002C29EA">
        <w:rPr>
          <w:rFonts w:ascii="Times New Roman" w:hAnsi="Times New Roman" w:cs="Times New Roman"/>
          <w:sz w:val="28"/>
          <w:szCs w:val="28"/>
        </w:rPr>
        <w:t>виробників та рекламодавців</w:t>
      </w:r>
      <w:r>
        <w:rPr>
          <w:rFonts w:ascii="Times New Roman" w:hAnsi="Times New Roman" w:cs="Times New Roman"/>
          <w:sz w:val="28"/>
          <w:szCs w:val="28"/>
        </w:rPr>
        <w:t xml:space="preserve">  [</w:t>
      </w:r>
      <w:r w:rsidR="005A2B46">
        <w:rPr>
          <w:rFonts w:ascii="Times New Roman" w:hAnsi="Times New Roman" w:cs="Times New Roman"/>
          <w:sz w:val="28"/>
          <w:szCs w:val="28"/>
        </w:rPr>
        <w:t>10, с.171</w:t>
      </w:r>
      <w:r w:rsidR="00CC0AC3">
        <w:rPr>
          <w:rFonts w:ascii="Times New Roman" w:hAnsi="Times New Roman" w:cs="Times New Roman"/>
          <w:sz w:val="28"/>
          <w:szCs w:val="28"/>
        </w:rPr>
        <w:t>,172</w:t>
      </w:r>
      <w:r w:rsidRPr="002C29EA">
        <w:rPr>
          <w:rFonts w:ascii="Times New Roman" w:hAnsi="Times New Roman" w:cs="Times New Roman"/>
          <w:sz w:val="28"/>
          <w:szCs w:val="28"/>
        </w:rPr>
        <w:t>]</w:t>
      </w:r>
      <w:r w:rsidR="00363CC5">
        <w:rPr>
          <w:rFonts w:ascii="Times New Roman" w:hAnsi="Times New Roman" w:cs="Times New Roman"/>
          <w:sz w:val="28"/>
          <w:szCs w:val="28"/>
        </w:rPr>
        <w:t xml:space="preserve">, оскільки самотужки </w:t>
      </w:r>
      <w:r w:rsidR="008776FF">
        <w:rPr>
          <w:rFonts w:ascii="Times New Roman" w:hAnsi="Times New Roman" w:cs="Times New Roman"/>
          <w:sz w:val="28"/>
          <w:szCs w:val="28"/>
        </w:rPr>
        <w:t xml:space="preserve">залежним особам дуже важко </w:t>
      </w:r>
      <w:r w:rsidR="00363CC5">
        <w:rPr>
          <w:rFonts w:ascii="Times New Roman" w:hAnsi="Times New Roman" w:cs="Times New Roman"/>
          <w:sz w:val="28"/>
          <w:szCs w:val="28"/>
        </w:rPr>
        <w:t xml:space="preserve">подолати </w:t>
      </w:r>
      <w:r w:rsidR="00AD0E69">
        <w:rPr>
          <w:rFonts w:ascii="Times New Roman" w:hAnsi="Times New Roman" w:cs="Times New Roman"/>
          <w:sz w:val="28"/>
          <w:szCs w:val="28"/>
        </w:rPr>
        <w:t xml:space="preserve">нав’язливу </w:t>
      </w:r>
      <w:r w:rsidR="00363CC5">
        <w:rPr>
          <w:rFonts w:ascii="Times New Roman" w:hAnsi="Times New Roman" w:cs="Times New Roman"/>
          <w:sz w:val="28"/>
          <w:szCs w:val="28"/>
        </w:rPr>
        <w:t>недобросовісну рекламу та звичку</w:t>
      </w:r>
      <w:r w:rsidR="00E2556E">
        <w:rPr>
          <w:rFonts w:ascii="Times New Roman" w:hAnsi="Times New Roman" w:cs="Times New Roman"/>
          <w:sz w:val="28"/>
          <w:szCs w:val="28"/>
        </w:rPr>
        <w:t>.</w:t>
      </w:r>
      <w:r w:rsidR="008776FF" w:rsidRPr="00877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FF" w:rsidRDefault="008776FF" w:rsidP="00994AA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наведені дані дозволяють класифікувати основні складові, які формують біологічну безпеку людини: 1. власний стан організму; 2. дія зовнішніх фізико-хімічних( в т.ч. екологічних) чинників; 3. дія негативних соціальних чинників; 4. дія кримінальних чинників (стан стресу,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інвалідізація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смерть потерпілого) тощо. Через це, стає очевидним, що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людини, щонайменш необхідно діяти за такими фаховими напрямками: з біомедицинських позицій - за лікувальним та лікувально-профілактичним,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психолого-психіатричним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екологічним напрямами; з юридичних позицій – за інформаційним та юридично-профілактичним напрямами; причому, в ідеалі -  необхідно діяти паралельно. Реалізувати підвищення рівня біологічної безпеки населення України буде можливим за умови створення постійно діючої моделі надання комплексної допомоги тим, хто її потребує.</w:t>
      </w:r>
    </w:p>
    <w:p w:rsidR="00AE250B" w:rsidRDefault="00AE250B" w:rsidP="00AE250B">
      <w:pPr>
        <w:tabs>
          <w:tab w:val="left" w:pos="9638"/>
        </w:tabs>
        <w:spacing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8D28D9" w:rsidRPr="00357286" w:rsidRDefault="00034C43" w:rsidP="00B840CA">
      <w:pPr>
        <w:tabs>
          <w:tab w:val="left" w:pos="9638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Дослідивши рівень фахових проблем, які стосуються біологічної безпеки населення України та їх міждисциплінарний зв'язок, стає вочевидь, що  </w:t>
      </w:r>
      <w:r w:rsidR="001C3BC0">
        <w:rPr>
          <w:rFonts w:ascii="Times New Roman" w:hAnsi="Times New Roman" w:cs="Times New Roman"/>
          <w:sz w:val="28"/>
          <w:szCs w:val="28"/>
        </w:rPr>
        <w:t xml:space="preserve">для підвищення рівня </w:t>
      </w:r>
      <w:r w:rsidR="00AE250B">
        <w:rPr>
          <w:rFonts w:ascii="Times New Roman" w:hAnsi="Times New Roman" w:cs="Times New Roman"/>
          <w:sz w:val="28"/>
          <w:szCs w:val="28"/>
        </w:rPr>
        <w:t xml:space="preserve">біологічної </w:t>
      </w:r>
      <w:r w:rsidR="001C3BC0">
        <w:rPr>
          <w:rFonts w:ascii="Times New Roman" w:hAnsi="Times New Roman" w:cs="Times New Roman"/>
          <w:sz w:val="28"/>
          <w:szCs w:val="28"/>
        </w:rPr>
        <w:t xml:space="preserve">безпеки людини необхідна інтеграція різних фахових підходів </w:t>
      </w:r>
      <w:r w:rsidR="00AE25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E250B">
        <w:rPr>
          <w:rFonts w:ascii="Times New Roman" w:hAnsi="Times New Roman" w:cs="Times New Roman"/>
          <w:sz w:val="28"/>
          <w:szCs w:val="28"/>
        </w:rPr>
        <w:t>медико-біологічного</w:t>
      </w:r>
      <w:proofErr w:type="spellEnd"/>
      <w:r w:rsidR="00AE2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50B">
        <w:rPr>
          <w:rFonts w:ascii="Times New Roman" w:hAnsi="Times New Roman" w:cs="Times New Roman"/>
          <w:sz w:val="28"/>
          <w:szCs w:val="28"/>
        </w:rPr>
        <w:t>психолого-психіатричного</w:t>
      </w:r>
      <w:proofErr w:type="spellEnd"/>
      <w:r w:rsidR="00AE250B">
        <w:rPr>
          <w:rFonts w:ascii="Times New Roman" w:hAnsi="Times New Roman" w:cs="Times New Roman"/>
          <w:sz w:val="28"/>
          <w:szCs w:val="28"/>
        </w:rPr>
        <w:t xml:space="preserve">, екологічного, юридичного тощо) </w:t>
      </w:r>
      <w:r w:rsidR="001C3BC0">
        <w:rPr>
          <w:rFonts w:ascii="Times New Roman" w:hAnsi="Times New Roman" w:cs="Times New Roman"/>
          <w:sz w:val="28"/>
          <w:szCs w:val="28"/>
        </w:rPr>
        <w:t>в один комплексний, який буде здійснюватись не лише під час епідемій, стихійного лиха, чи техногенних катастроф, а й повсякденно.</w:t>
      </w:r>
    </w:p>
    <w:p w:rsidR="008D28D9" w:rsidRPr="00FE5557" w:rsidRDefault="008D28D9" w:rsidP="0085777D">
      <w:pPr>
        <w:pStyle w:val="a6"/>
        <w:tabs>
          <w:tab w:val="left" w:pos="9638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8D9"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:rsidR="002653D3" w:rsidRPr="00BC71F7" w:rsidRDefault="00EC6707" w:rsidP="00BC7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01228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Освіта на основі життєвих навичок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012283">
        <w:rPr>
          <w:rFonts w:ascii="Times New Roman" w:eastAsia="Times New Roman" w:hAnsi="Times New Roman" w:cs="Times New Roman"/>
          <w:sz w:val="28"/>
          <w:szCs w:val="28"/>
          <w:lang w:eastAsia="uk-UA"/>
        </w:rPr>
        <w:t>Адвокаційний</w:t>
      </w:r>
      <w:proofErr w:type="spellEnd"/>
      <w:r w:rsidRPr="000122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модуль для керівних кадрів</w:t>
      </w:r>
      <w:r w:rsidR="00947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947E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C6707">
        <w:rPr>
          <w:rFonts w:ascii="Times New Roman" w:hAnsi="Times New Roman" w:cs="Times New Roman"/>
          <w:sz w:val="28"/>
          <w:szCs w:val="28"/>
        </w:rPr>
        <w:t xml:space="preserve">[Електронний ресурс]. Режим доступу:  </w:t>
      </w:r>
      <w:hyperlink r:id="rId6" w:history="1">
        <w:r w:rsidR="002653D3" w:rsidRPr="00BC71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http://dlse.multycourse.com.ua/ua/page/19/115</w:t>
        </w:r>
      </w:hyperlink>
      <w:r w:rsidRPr="00BC71F7">
        <w:rPr>
          <w:rFonts w:ascii="Times New Roman" w:hAnsi="Times New Roman" w:cs="Times New Roman"/>
          <w:sz w:val="28"/>
          <w:szCs w:val="28"/>
        </w:rPr>
        <w:t>.</w:t>
      </w:r>
    </w:p>
    <w:p w:rsidR="00EC6707" w:rsidRPr="00BC71F7" w:rsidRDefault="002653D3" w:rsidP="0085777D">
      <w:pPr>
        <w:pStyle w:val="a6"/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F7">
        <w:rPr>
          <w:rFonts w:ascii="Times New Roman" w:hAnsi="Times New Roman" w:cs="Times New Roman"/>
          <w:sz w:val="28"/>
          <w:szCs w:val="28"/>
        </w:rPr>
        <w:t>2.</w:t>
      </w:r>
      <w:r w:rsidR="00EC6707" w:rsidRPr="00BC71F7">
        <w:rPr>
          <w:rFonts w:ascii="Times New Roman" w:hAnsi="Times New Roman" w:cs="Times New Roman"/>
          <w:sz w:val="28"/>
          <w:szCs w:val="28"/>
        </w:rPr>
        <w:t xml:space="preserve">Безпека життєдіяльності / </w:t>
      </w:r>
      <w:r w:rsidR="00EC6707" w:rsidRPr="00BC71F7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spellStart"/>
      <w:r w:rsidR="00EC6707" w:rsidRPr="00BC71F7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="00EC6707" w:rsidRPr="00BC71F7">
        <w:rPr>
          <w:rFonts w:ascii="Times New Roman" w:hAnsi="Times New Roman" w:cs="Times New Roman"/>
          <w:sz w:val="28"/>
          <w:szCs w:val="28"/>
          <w:lang w:val="ru-RU"/>
        </w:rPr>
        <w:t xml:space="preserve"> ресурс]. Режим доступу:</w:t>
      </w:r>
      <w:r w:rsidR="007208F6" w:rsidRPr="00BC7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EC6707" w:rsidRPr="00BC71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https://pidruchniki.com/10561127/bzhd/zakoni_zakonodavchi_normativni_akti_reglamentuyut_riven_individualnogo_riziku</w:t>
        </w:r>
      </w:hyperlink>
    </w:p>
    <w:p w:rsidR="00EC6707" w:rsidRPr="00BC71F7" w:rsidRDefault="002653D3" w:rsidP="00BC71F7">
      <w:pPr>
        <w:pStyle w:val="a6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1F7">
        <w:rPr>
          <w:rFonts w:ascii="Times New Roman" w:hAnsi="Times New Roman" w:cs="Times New Roman"/>
          <w:sz w:val="28"/>
          <w:szCs w:val="28"/>
        </w:rPr>
        <w:t>3.</w:t>
      </w:r>
      <w:r w:rsidR="00746353" w:rsidRPr="00BC71F7">
        <w:rPr>
          <w:rFonts w:ascii="Times New Roman" w:hAnsi="Times New Roman" w:cs="Times New Roman"/>
          <w:sz w:val="28"/>
          <w:szCs w:val="28"/>
        </w:rPr>
        <w:t xml:space="preserve">Тихий В.П. Безпека людини: поняття, правове забезпечення, значення, види /Вісник Національної академії правових наук України № 2 (85). </w:t>
      </w:r>
      <w:r w:rsidR="00BC71F7">
        <w:rPr>
          <w:rFonts w:ascii="Times New Roman" w:hAnsi="Times New Roman" w:cs="Times New Roman"/>
          <w:sz w:val="28"/>
          <w:szCs w:val="28"/>
        </w:rPr>
        <w:t xml:space="preserve">- </w:t>
      </w:r>
      <w:r w:rsidR="00746353" w:rsidRPr="00BC71F7">
        <w:rPr>
          <w:rFonts w:ascii="Times New Roman" w:hAnsi="Times New Roman" w:cs="Times New Roman"/>
          <w:sz w:val="28"/>
          <w:szCs w:val="28"/>
        </w:rPr>
        <w:t>2016. - с. 31-46.</w:t>
      </w:r>
      <w:r w:rsidR="0085777D" w:rsidRPr="00BC7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603" w:rsidRPr="00BC71F7" w:rsidRDefault="00524603" w:rsidP="0085777D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BC71F7">
        <w:rPr>
          <w:rFonts w:ascii="Times New Roman" w:hAnsi="Times New Roman" w:cs="Times New Roman"/>
          <w:sz w:val="28"/>
          <w:szCs w:val="28"/>
        </w:rPr>
        <w:t xml:space="preserve">4. Л.М. </w:t>
      </w:r>
      <w:proofErr w:type="spellStart"/>
      <w:r w:rsidRPr="00BC71F7">
        <w:rPr>
          <w:rFonts w:ascii="Times New Roman" w:hAnsi="Times New Roman" w:cs="Times New Roman"/>
          <w:sz w:val="28"/>
          <w:szCs w:val="28"/>
        </w:rPr>
        <w:t>Курняк</w:t>
      </w:r>
      <w:proofErr w:type="spellEnd"/>
      <w:r w:rsidRPr="00BC71F7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BC71F7">
        <w:rPr>
          <w:rFonts w:ascii="Times New Roman" w:hAnsi="Times New Roman" w:cs="Times New Roman"/>
          <w:sz w:val="28"/>
          <w:szCs w:val="28"/>
        </w:rPr>
        <w:t>Курняк</w:t>
      </w:r>
      <w:proofErr w:type="spellEnd"/>
      <w:r w:rsidRPr="00BC71F7">
        <w:rPr>
          <w:rFonts w:ascii="Times New Roman" w:hAnsi="Times New Roman" w:cs="Times New Roman"/>
          <w:sz w:val="28"/>
          <w:szCs w:val="28"/>
        </w:rPr>
        <w:t xml:space="preserve">. Безпека людини – невід’ємна складова характеристики стратегічного напряму розвитку людства / [Електронний ресурс]. Режим доступу: (87- 91). </w:t>
      </w:r>
      <w:r w:rsidRPr="00BC71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71F7">
        <w:rPr>
          <w:rFonts w:ascii="Times New Roman" w:hAnsi="Times New Roman" w:cs="Times New Roman"/>
          <w:sz w:val="28"/>
          <w:szCs w:val="28"/>
        </w:rPr>
        <w:t>:</w:t>
      </w:r>
      <w:r w:rsidRPr="00BC71F7">
        <w:t xml:space="preserve"> </w:t>
      </w:r>
      <w:r w:rsidRPr="00BC71F7">
        <w:rPr>
          <w:rFonts w:ascii="Arial" w:hAnsi="Arial" w:cs="Arial"/>
          <w:shd w:val="clear" w:color="auto" w:fill="FFFFFF"/>
        </w:rPr>
        <w:fldChar w:fldCharType="begin"/>
      </w:r>
      <w:r w:rsidRPr="00BC71F7">
        <w:rPr>
          <w:rFonts w:ascii="Arial" w:hAnsi="Arial" w:cs="Arial"/>
          <w:shd w:val="clear" w:color="auto" w:fill="FFFFFF"/>
        </w:rPr>
        <w:instrText xml:space="preserve"> HYPERLINK "http:// </w:instrText>
      </w:r>
      <w:r w:rsidRPr="00BC71F7">
        <w:rPr>
          <w:rFonts w:ascii="Times New Roman" w:hAnsi="Times New Roman" w:cs="Times New Roman"/>
          <w:sz w:val="28"/>
          <w:szCs w:val="28"/>
          <w:shd w:val="clear" w:color="auto" w:fill="FFFFFF"/>
        </w:rPr>
        <w:instrText>www.irbis-nbuv.gov.ua</w:instrText>
      </w:r>
    </w:p>
    <w:p w:rsidR="00524603" w:rsidRPr="00BC71F7" w:rsidRDefault="00524603" w:rsidP="0085777D">
      <w:pPr>
        <w:spacing w:after="0" w:line="360" w:lineRule="auto"/>
        <w:ind w:firstLine="708"/>
        <w:jc w:val="both"/>
        <w:rPr>
          <w:rStyle w:val="a3"/>
          <w:rFonts w:ascii="Arial" w:hAnsi="Arial" w:cs="Arial"/>
          <w:color w:val="auto"/>
          <w:shd w:val="clear" w:color="auto" w:fill="FFFFFF"/>
        </w:rPr>
      </w:pPr>
      <w:r w:rsidRPr="00BC71F7">
        <w:rPr>
          <w:rFonts w:ascii="Arial" w:hAnsi="Arial" w:cs="Arial"/>
          <w:shd w:val="clear" w:color="auto" w:fill="FFFFFF"/>
        </w:rPr>
        <w:instrText xml:space="preserve">" </w:instrText>
      </w:r>
      <w:r w:rsidRPr="00BC71F7">
        <w:rPr>
          <w:rFonts w:ascii="Arial" w:hAnsi="Arial" w:cs="Arial"/>
          <w:shd w:val="clear" w:color="auto" w:fill="FFFFFF"/>
        </w:rPr>
        <w:fldChar w:fldCharType="separate"/>
      </w:r>
      <w:r w:rsidRPr="00BC71F7">
        <w:rPr>
          <w:rStyle w:val="a3"/>
          <w:rFonts w:ascii="Arial" w:hAnsi="Arial" w:cs="Arial"/>
          <w:color w:val="auto"/>
          <w:shd w:val="clear" w:color="auto" w:fill="FFFFFF"/>
        </w:rPr>
        <w:t xml:space="preserve"> </w:t>
      </w:r>
      <w:r w:rsidRPr="00BC71F7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www.irbis-nbuv.gov.ua</w:t>
      </w:r>
    </w:p>
    <w:p w:rsidR="00EC44FE" w:rsidRPr="00BC71F7" w:rsidRDefault="00524603" w:rsidP="008577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1F7">
        <w:rPr>
          <w:rFonts w:ascii="Arial" w:hAnsi="Arial" w:cs="Arial"/>
          <w:shd w:val="clear" w:color="auto" w:fill="FFFFFF"/>
        </w:rPr>
        <w:fldChar w:fldCharType="end"/>
      </w:r>
      <w:r w:rsidR="00AC1212" w:rsidRPr="00BC71F7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EC44FE" w:rsidRPr="00BC71F7">
        <w:rPr>
          <w:rFonts w:ascii="Times New Roman" w:hAnsi="Times New Roman" w:cs="Times New Roman"/>
          <w:sz w:val="28"/>
          <w:szCs w:val="28"/>
        </w:rPr>
        <w:t xml:space="preserve"> Таблиці народжуваності, смертності та середньої очікуваної тривалості життя за 2018 рік. Статистичний збірник. Київ. 2019.</w:t>
      </w:r>
      <w:r w:rsidR="00EC44FE" w:rsidRPr="00BC71F7">
        <w:rPr>
          <w:rFonts w:ascii="Times New Roman" w:hAnsi="Times New Roman"/>
          <w:sz w:val="28"/>
          <w:szCs w:val="28"/>
        </w:rPr>
        <w:t xml:space="preserve"> / [</w:t>
      </w:r>
      <w:proofErr w:type="spellStart"/>
      <w:r w:rsidR="00EC44FE" w:rsidRPr="00BC71F7">
        <w:rPr>
          <w:rFonts w:ascii="Times New Roman" w:hAnsi="Times New Roman"/>
          <w:sz w:val="28"/>
          <w:szCs w:val="28"/>
          <w:lang w:val="ru-RU"/>
        </w:rPr>
        <w:t>Електронний</w:t>
      </w:r>
      <w:proofErr w:type="spellEnd"/>
      <w:r w:rsidR="00EC44FE" w:rsidRPr="00BC71F7">
        <w:rPr>
          <w:rFonts w:ascii="Times New Roman" w:hAnsi="Times New Roman"/>
          <w:sz w:val="28"/>
          <w:szCs w:val="28"/>
          <w:lang w:val="ru-RU"/>
        </w:rPr>
        <w:t xml:space="preserve"> ресурс</w:t>
      </w:r>
      <w:r w:rsidR="00EC44FE" w:rsidRPr="00BC71F7">
        <w:rPr>
          <w:rFonts w:ascii="Times New Roman" w:hAnsi="Times New Roman"/>
          <w:sz w:val="28"/>
          <w:szCs w:val="28"/>
        </w:rPr>
        <w:t xml:space="preserve">]. Режим доступу:  </w:t>
      </w:r>
      <w:hyperlink r:id="rId8" w:history="1">
        <w:r w:rsidR="00EC44FE" w:rsidRPr="00BC71F7">
          <w:rPr>
            <w:rStyle w:val="a3"/>
            <w:rFonts w:ascii="Times New Roman" w:hAnsi="Times New Roman"/>
            <w:color w:val="auto"/>
            <w:sz w:val="28"/>
            <w:szCs w:val="28"/>
          </w:rPr>
          <w:t>http://ukrstat.gov.ua/druk/publicat/kat_u/2019/zb/08/zb_tabl_nar_2018.pdf</w:t>
        </w:r>
      </w:hyperlink>
      <w:r w:rsidR="00EC44FE" w:rsidRPr="00BC71F7">
        <w:rPr>
          <w:rFonts w:ascii="Times New Roman" w:hAnsi="Times New Roman"/>
          <w:sz w:val="28"/>
          <w:szCs w:val="28"/>
        </w:rPr>
        <w:t>.</w:t>
      </w:r>
    </w:p>
    <w:p w:rsidR="008169A2" w:rsidRPr="00BC71F7" w:rsidRDefault="008169A2" w:rsidP="0085777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1F7">
        <w:rPr>
          <w:rFonts w:ascii="Times New Roman" w:hAnsi="Times New Roman" w:cs="Times New Roman"/>
          <w:sz w:val="28"/>
          <w:szCs w:val="28"/>
        </w:rPr>
        <w:tab/>
        <w:t>6.</w:t>
      </w:r>
      <w:r w:rsidR="00C632F0" w:rsidRPr="00BC71F7">
        <w:rPr>
          <w:rFonts w:ascii="Times New Roman" w:hAnsi="Times New Roman" w:cs="Times New Roman"/>
          <w:sz w:val="28"/>
          <w:szCs w:val="28"/>
        </w:rPr>
        <w:t xml:space="preserve"> </w:t>
      </w:r>
      <w:r w:rsidRPr="00BC71F7">
        <w:rPr>
          <w:rFonts w:ascii="Times New Roman" w:hAnsi="Times New Roman" w:cs="Times New Roman"/>
          <w:sz w:val="28"/>
          <w:szCs w:val="28"/>
        </w:rPr>
        <w:t>Звіт щодо кримінальної статистики в Україні. Центр політико-правових реформ.</w:t>
      </w:r>
      <w:r w:rsidR="00BC71F7">
        <w:rPr>
          <w:rFonts w:ascii="Times New Roman" w:hAnsi="Times New Roman" w:cs="Times New Roman"/>
          <w:sz w:val="28"/>
          <w:szCs w:val="28"/>
        </w:rPr>
        <w:t xml:space="preserve"> -</w:t>
      </w:r>
      <w:r w:rsidRPr="00BC71F7">
        <w:rPr>
          <w:rFonts w:ascii="Times New Roman" w:hAnsi="Times New Roman" w:cs="Times New Roman"/>
          <w:sz w:val="28"/>
          <w:szCs w:val="28"/>
        </w:rPr>
        <w:t xml:space="preserve"> Київ. </w:t>
      </w:r>
      <w:r w:rsidR="00BC71F7">
        <w:rPr>
          <w:rFonts w:ascii="Times New Roman" w:hAnsi="Times New Roman" w:cs="Times New Roman"/>
          <w:sz w:val="28"/>
          <w:szCs w:val="28"/>
        </w:rPr>
        <w:t xml:space="preserve">- </w:t>
      </w:r>
      <w:r w:rsidRPr="00BC71F7">
        <w:rPr>
          <w:rFonts w:ascii="Times New Roman" w:hAnsi="Times New Roman" w:cs="Times New Roman"/>
          <w:sz w:val="28"/>
          <w:szCs w:val="28"/>
        </w:rPr>
        <w:t>2019.</w:t>
      </w:r>
      <w:r w:rsidR="00A56537" w:rsidRPr="00BC71F7">
        <w:rPr>
          <w:rFonts w:ascii="Times New Roman" w:hAnsi="Times New Roman" w:cs="Times New Roman"/>
          <w:sz w:val="28"/>
          <w:szCs w:val="28"/>
        </w:rPr>
        <w:t xml:space="preserve">/ </w:t>
      </w:r>
      <w:r w:rsidRPr="00BC71F7">
        <w:rPr>
          <w:rFonts w:ascii="Times New Roman" w:hAnsi="Times New Roman" w:cs="Times New Roman"/>
          <w:sz w:val="28"/>
          <w:szCs w:val="28"/>
        </w:rPr>
        <w:t xml:space="preserve">[Електронний ресурс ]. Режим доступу: </w:t>
      </w:r>
      <w:hyperlink r:id="rId9" w:history="1">
        <w:r w:rsidR="00A56537" w:rsidRPr="00BC71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pravo.org.ua/img/books/files/1568808134cplr.%20report%20on%20criminal%20statistics%20in%20ukraine.pdf?__cf_chl_jschl_tk__=6149a3978de11f08944284c0682c8359d00c2e56-1589878435-0-AYJFzKITkHZf3AXU90cQZniEtyBO0J_1VDDvruGl9_UyOECMaehCzlEO2Q0GuJzO1Elcgt4e1qOxz93UuNfuVev7LtKIjOV07DzszWYGhrlGo5o2Y_Ghx5T69u0-3_hulMInJC9wbSgOSWCzcGvmm5KYjiApH0tvoGCXPQ1UHLoY3s8-i6sJQaR1FxDotUCC_aGNQQU_a8qb1AO0aBkRTaNLvH_skOQBGJAXCvnI0_xG6VB4hNVE55eEGpT1Fr1N4DXvz8PlA7dgZDA9WVC-pohd4UiY3AE6wvdmyrcwoZQkqPogVIezWHkKp8-dRaZilKxMI9g9-qxh7gTt8pamCjFec0S9JNRvlFOhNXMpf2v3SVTXJbvSRN_8on1yNPT1jOm5uT7F1eRKOW5ZbfLQ5S0</w:t>
        </w:r>
      </w:hyperlink>
      <w:r w:rsidRPr="00BC7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37" w:rsidRPr="00BC71F7" w:rsidRDefault="00A56537" w:rsidP="0085777D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1F7">
        <w:rPr>
          <w:rFonts w:ascii="Times New Roman" w:hAnsi="Times New Roman" w:cs="Times New Roman"/>
          <w:sz w:val="28"/>
          <w:szCs w:val="28"/>
        </w:rPr>
        <w:t xml:space="preserve">7.Тенденція і протидія злочинності. Аналіз загального стану злочинності в Україні за 2018 рік. </w:t>
      </w:r>
      <w:r w:rsidR="00886E39" w:rsidRPr="00BC71F7">
        <w:rPr>
          <w:rFonts w:ascii="Times New Roman" w:hAnsi="Times New Roman" w:cs="Times New Roman"/>
          <w:sz w:val="28"/>
          <w:szCs w:val="28"/>
        </w:rPr>
        <w:t xml:space="preserve">/ </w:t>
      </w:r>
      <w:r w:rsidRPr="00BC71F7"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val="ru-RU" w:eastAsia="uk-UA"/>
        </w:rPr>
        <w:t>[</w:t>
      </w:r>
      <w:proofErr w:type="spellStart"/>
      <w:r w:rsidRPr="00BC71F7"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val="ru-RU" w:eastAsia="uk-UA"/>
        </w:rPr>
        <w:t>Електронний</w:t>
      </w:r>
      <w:proofErr w:type="spellEnd"/>
      <w:r w:rsidRPr="00BC71F7"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val="ru-RU" w:eastAsia="uk-UA"/>
        </w:rPr>
        <w:t xml:space="preserve"> ресурс</w:t>
      </w:r>
      <w:r w:rsidRPr="00BC71F7">
        <w:rPr>
          <w:rFonts w:ascii="Times New Roman" w:hAnsi="Times New Roman" w:cs="Times New Roman"/>
          <w:sz w:val="28"/>
          <w:szCs w:val="28"/>
        </w:rPr>
        <w:t xml:space="preserve">]. Режим доступу:  </w:t>
      </w:r>
    </w:p>
    <w:p w:rsidR="00A56537" w:rsidRPr="00BC71F7" w:rsidRDefault="00A56537" w:rsidP="0085777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C71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https://lexinform.com.ua/dumka-eksperta/tendentsiyi-i-protydiya-zlochynnosti-analiz-zagalnogo-stanu-zlochynnosti-v-ukrayini-za-2018-rik-u-porivnyanni-zi-statystychnymy-danymy-za-2013-2017-roky/</w:t>
        </w:r>
      </w:hyperlink>
    </w:p>
    <w:p w:rsidR="00567A5F" w:rsidRPr="00BC71F7" w:rsidRDefault="00F96511" w:rsidP="0085777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1F7">
        <w:rPr>
          <w:rFonts w:ascii="Times New Roman" w:hAnsi="Times New Roman" w:cs="Times New Roman"/>
          <w:sz w:val="28"/>
          <w:szCs w:val="28"/>
        </w:rPr>
        <w:tab/>
        <w:t>8.</w:t>
      </w:r>
      <w:r w:rsidR="00A2010A" w:rsidRPr="00BC71F7">
        <w:rPr>
          <w:rFonts w:ascii="Times New Roman" w:hAnsi="Times New Roman" w:cs="Times New Roman"/>
          <w:sz w:val="28"/>
          <w:szCs w:val="28"/>
        </w:rPr>
        <w:t xml:space="preserve"> </w:t>
      </w:r>
      <w:r w:rsidRPr="00BC71F7">
        <w:rPr>
          <w:rFonts w:ascii="Times New Roman" w:hAnsi="Times New Roman" w:cs="Times New Roman"/>
          <w:sz w:val="28"/>
          <w:szCs w:val="28"/>
        </w:rPr>
        <w:t xml:space="preserve">Інформація щодо міжнародної технічної допомоги, що надається Україні. </w:t>
      </w:r>
      <w:r w:rsidR="00BC71F7">
        <w:rPr>
          <w:rFonts w:ascii="Times New Roman" w:hAnsi="Times New Roman" w:cs="Times New Roman"/>
          <w:sz w:val="28"/>
          <w:szCs w:val="28"/>
        </w:rPr>
        <w:t>/</w:t>
      </w:r>
      <w:r w:rsidRPr="00BC71F7">
        <w:rPr>
          <w:rFonts w:ascii="Times New Roman" w:hAnsi="Times New Roman" w:cs="Times New Roman"/>
          <w:sz w:val="28"/>
          <w:szCs w:val="28"/>
        </w:rPr>
        <w:t xml:space="preserve"> [Електронний ресурс]. Режим доступу: </w:t>
      </w:r>
      <w:r w:rsidRPr="00BC71F7">
        <w:rPr>
          <w:rFonts w:ascii="Times New Roman" w:hAnsi="Times New Roman" w:cs="Times New Roman"/>
          <w:sz w:val="28"/>
          <w:szCs w:val="28"/>
          <w:u w:val="single"/>
        </w:rPr>
        <w:t xml:space="preserve">https://Звіт_монітор_МТД_ІІ_2017_для </w:t>
      </w:r>
      <w:proofErr w:type="spellStart"/>
      <w:r w:rsidRPr="00BC71F7">
        <w:rPr>
          <w:rFonts w:ascii="Times New Roman" w:hAnsi="Times New Roman" w:cs="Times New Roman"/>
          <w:sz w:val="28"/>
          <w:szCs w:val="28"/>
          <w:u w:val="single"/>
        </w:rPr>
        <w:t>сайту_</w:t>
      </w:r>
      <w:proofErr w:type="spellEnd"/>
      <w:r w:rsidRPr="00BC71F7">
        <w:rPr>
          <w:rFonts w:ascii="Times New Roman" w:hAnsi="Times New Roman" w:cs="Times New Roman"/>
          <w:sz w:val="28"/>
          <w:szCs w:val="28"/>
          <w:u w:val="single"/>
        </w:rPr>
        <w:t>me.gov/ua</w:t>
      </w:r>
      <w:r w:rsidR="00567A5F" w:rsidRPr="00BC71F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C71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511" w:rsidRPr="00BC71F7" w:rsidRDefault="00567A5F" w:rsidP="0085777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1F7">
        <w:rPr>
          <w:rFonts w:ascii="Times New Roman" w:hAnsi="Times New Roman" w:cs="Times New Roman"/>
          <w:sz w:val="28"/>
          <w:szCs w:val="28"/>
        </w:rPr>
        <w:tab/>
        <w:t>9. Федорова О.А. Стан та шляхи п</w:t>
      </w:r>
      <w:r w:rsidR="00BC71F7">
        <w:rPr>
          <w:rFonts w:ascii="Times New Roman" w:hAnsi="Times New Roman" w:cs="Times New Roman"/>
          <w:sz w:val="28"/>
          <w:szCs w:val="28"/>
        </w:rPr>
        <w:t>окращення безпеки пацієнтів /</w:t>
      </w:r>
      <w:r w:rsidRPr="00BC71F7">
        <w:rPr>
          <w:rFonts w:ascii="Times New Roman" w:hAnsi="Times New Roman" w:cs="Times New Roman"/>
          <w:sz w:val="28"/>
          <w:szCs w:val="28"/>
        </w:rPr>
        <w:t xml:space="preserve"> Зб. мат-лів Міжнародної науково-практичної конференції: «Безпека пацієнтів в Україні: стан і шляхи її покращення», м. Дніпро, 6-7 червня 2017 р. – С.165-168.</w:t>
      </w:r>
    </w:p>
    <w:p w:rsidR="005A2B46" w:rsidRPr="00BC71F7" w:rsidRDefault="005A2B46" w:rsidP="0085777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1F7">
        <w:rPr>
          <w:rFonts w:ascii="Times New Roman" w:hAnsi="Times New Roman" w:cs="Times New Roman"/>
          <w:sz w:val="28"/>
          <w:szCs w:val="28"/>
        </w:rPr>
        <w:tab/>
        <w:t xml:space="preserve">10. Федорова О.А. Судово-медична характеристика небезпеки альтернативних способів паління. Необхідність розробки мір профілактики вейпінгу/ Мат-ли </w:t>
      </w:r>
      <w:proofErr w:type="spellStart"/>
      <w:r w:rsidRPr="00BC71F7">
        <w:rPr>
          <w:rFonts w:ascii="Times New Roman" w:hAnsi="Times New Roman" w:cs="Times New Roman"/>
          <w:sz w:val="28"/>
          <w:szCs w:val="28"/>
        </w:rPr>
        <w:t>міжвідом</w:t>
      </w:r>
      <w:proofErr w:type="spellEnd"/>
      <w:r w:rsidRPr="00BC71F7">
        <w:rPr>
          <w:rFonts w:ascii="Times New Roman" w:hAnsi="Times New Roman" w:cs="Times New Roman"/>
          <w:sz w:val="28"/>
          <w:szCs w:val="28"/>
        </w:rPr>
        <w:t>. наук-практ. конф. «Правові засади забезпечення права людини на життя та здоров’я»,  НМУ. Київ, 12 груд.  2019.  С. 170 – 172.</w:t>
      </w:r>
    </w:p>
    <w:p w:rsidR="002B6768" w:rsidRPr="00BC71F7" w:rsidRDefault="002B6768" w:rsidP="0085777D">
      <w:pPr>
        <w:tabs>
          <w:tab w:val="left" w:pos="9638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B6768" w:rsidRPr="00BC71F7" w:rsidSect="007208F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6D4"/>
    <w:multiLevelType w:val="hybridMultilevel"/>
    <w:tmpl w:val="45CE5C10"/>
    <w:lvl w:ilvl="0" w:tplc="94669D8A">
      <w:start w:val="35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A3D3E"/>
    <w:multiLevelType w:val="hybridMultilevel"/>
    <w:tmpl w:val="6E540124"/>
    <w:lvl w:ilvl="0" w:tplc="972046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036AFB"/>
    <w:multiLevelType w:val="hybridMultilevel"/>
    <w:tmpl w:val="6E540124"/>
    <w:lvl w:ilvl="0" w:tplc="972046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42EA7"/>
    <w:multiLevelType w:val="hybridMultilevel"/>
    <w:tmpl w:val="4CD029F6"/>
    <w:lvl w:ilvl="0" w:tplc="B0845682">
      <w:start w:val="5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415081"/>
    <w:multiLevelType w:val="hybridMultilevel"/>
    <w:tmpl w:val="75C2070A"/>
    <w:lvl w:ilvl="0" w:tplc="0094ABC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6F6F71"/>
    <w:multiLevelType w:val="hybridMultilevel"/>
    <w:tmpl w:val="46628A52"/>
    <w:lvl w:ilvl="0" w:tplc="6A966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8F32D4"/>
    <w:multiLevelType w:val="hybridMultilevel"/>
    <w:tmpl w:val="D78CBAA4"/>
    <w:lvl w:ilvl="0" w:tplc="E74CD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6B505F"/>
    <w:multiLevelType w:val="hybridMultilevel"/>
    <w:tmpl w:val="5394B6F8"/>
    <w:lvl w:ilvl="0" w:tplc="972046A4">
      <w:start w:val="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5F4681"/>
    <w:multiLevelType w:val="hybridMultilevel"/>
    <w:tmpl w:val="EDD0FB38"/>
    <w:lvl w:ilvl="0" w:tplc="24FA0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B6768"/>
    <w:rsid w:val="00012283"/>
    <w:rsid w:val="00034C43"/>
    <w:rsid w:val="00073337"/>
    <w:rsid w:val="000839D7"/>
    <w:rsid w:val="00091C71"/>
    <w:rsid w:val="000A4E1E"/>
    <w:rsid w:val="000B7E83"/>
    <w:rsid w:val="000C0164"/>
    <w:rsid w:val="00147C68"/>
    <w:rsid w:val="001521CB"/>
    <w:rsid w:val="001678E5"/>
    <w:rsid w:val="0017063A"/>
    <w:rsid w:val="001C3BC0"/>
    <w:rsid w:val="00224E2E"/>
    <w:rsid w:val="002313F6"/>
    <w:rsid w:val="00231BF7"/>
    <w:rsid w:val="002364D6"/>
    <w:rsid w:val="00254F0D"/>
    <w:rsid w:val="002577EC"/>
    <w:rsid w:val="002653D3"/>
    <w:rsid w:val="002B0989"/>
    <w:rsid w:val="002B6768"/>
    <w:rsid w:val="002C29EA"/>
    <w:rsid w:val="002E1585"/>
    <w:rsid w:val="002E6582"/>
    <w:rsid w:val="00301211"/>
    <w:rsid w:val="003278BB"/>
    <w:rsid w:val="00354B17"/>
    <w:rsid w:val="00357286"/>
    <w:rsid w:val="00363CC5"/>
    <w:rsid w:val="00365C55"/>
    <w:rsid w:val="00367A52"/>
    <w:rsid w:val="003A28CA"/>
    <w:rsid w:val="003A37E2"/>
    <w:rsid w:val="003B7ADA"/>
    <w:rsid w:val="003D074F"/>
    <w:rsid w:val="003E3F3D"/>
    <w:rsid w:val="003F4B09"/>
    <w:rsid w:val="00440C54"/>
    <w:rsid w:val="00450AA8"/>
    <w:rsid w:val="004E1518"/>
    <w:rsid w:val="004F6928"/>
    <w:rsid w:val="005109FC"/>
    <w:rsid w:val="005163B8"/>
    <w:rsid w:val="00517467"/>
    <w:rsid w:val="00520F69"/>
    <w:rsid w:val="00524603"/>
    <w:rsid w:val="005461C1"/>
    <w:rsid w:val="00567A5F"/>
    <w:rsid w:val="005878D6"/>
    <w:rsid w:val="005A27B6"/>
    <w:rsid w:val="005A2B46"/>
    <w:rsid w:val="005B21EA"/>
    <w:rsid w:val="005B47D0"/>
    <w:rsid w:val="005B7C0B"/>
    <w:rsid w:val="005C56BE"/>
    <w:rsid w:val="005E0FA6"/>
    <w:rsid w:val="0061213E"/>
    <w:rsid w:val="00664E51"/>
    <w:rsid w:val="0068603D"/>
    <w:rsid w:val="006D0E74"/>
    <w:rsid w:val="006E7ACF"/>
    <w:rsid w:val="006F7331"/>
    <w:rsid w:val="00711D75"/>
    <w:rsid w:val="007208F6"/>
    <w:rsid w:val="00732C98"/>
    <w:rsid w:val="00746353"/>
    <w:rsid w:val="00753ADB"/>
    <w:rsid w:val="00760B9D"/>
    <w:rsid w:val="007C59A0"/>
    <w:rsid w:val="007D6BF1"/>
    <w:rsid w:val="0080207A"/>
    <w:rsid w:val="008154C4"/>
    <w:rsid w:val="008169A2"/>
    <w:rsid w:val="00841E05"/>
    <w:rsid w:val="0085777D"/>
    <w:rsid w:val="00863A85"/>
    <w:rsid w:val="00870197"/>
    <w:rsid w:val="008776FF"/>
    <w:rsid w:val="00886E39"/>
    <w:rsid w:val="00891F42"/>
    <w:rsid w:val="00895425"/>
    <w:rsid w:val="008A31D4"/>
    <w:rsid w:val="008B7240"/>
    <w:rsid w:val="008D28D9"/>
    <w:rsid w:val="008F4277"/>
    <w:rsid w:val="009103DA"/>
    <w:rsid w:val="00935D6C"/>
    <w:rsid w:val="00947E15"/>
    <w:rsid w:val="00953C4F"/>
    <w:rsid w:val="00962D88"/>
    <w:rsid w:val="009738D6"/>
    <w:rsid w:val="00994AA8"/>
    <w:rsid w:val="009966B9"/>
    <w:rsid w:val="009C08FD"/>
    <w:rsid w:val="009C0A12"/>
    <w:rsid w:val="009D1D44"/>
    <w:rsid w:val="009E68C3"/>
    <w:rsid w:val="00A2010A"/>
    <w:rsid w:val="00A31D28"/>
    <w:rsid w:val="00A466F1"/>
    <w:rsid w:val="00A56537"/>
    <w:rsid w:val="00A72675"/>
    <w:rsid w:val="00AA0FC6"/>
    <w:rsid w:val="00AA3004"/>
    <w:rsid w:val="00AB0F82"/>
    <w:rsid w:val="00AB1F7C"/>
    <w:rsid w:val="00AC1212"/>
    <w:rsid w:val="00AC3950"/>
    <w:rsid w:val="00AD0E69"/>
    <w:rsid w:val="00AE250B"/>
    <w:rsid w:val="00AE7EA8"/>
    <w:rsid w:val="00B05C37"/>
    <w:rsid w:val="00B20F5E"/>
    <w:rsid w:val="00B3153D"/>
    <w:rsid w:val="00B42E6E"/>
    <w:rsid w:val="00B46FF7"/>
    <w:rsid w:val="00B840CA"/>
    <w:rsid w:val="00BC71F7"/>
    <w:rsid w:val="00BD4A42"/>
    <w:rsid w:val="00BF5B47"/>
    <w:rsid w:val="00C132E2"/>
    <w:rsid w:val="00C1504A"/>
    <w:rsid w:val="00C2443A"/>
    <w:rsid w:val="00C31402"/>
    <w:rsid w:val="00C3247A"/>
    <w:rsid w:val="00C632F0"/>
    <w:rsid w:val="00CC0AC3"/>
    <w:rsid w:val="00CC2FEE"/>
    <w:rsid w:val="00CD232B"/>
    <w:rsid w:val="00D2585F"/>
    <w:rsid w:val="00D409BE"/>
    <w:rsid w:val="00D5079F"/>
    <w:rsid w:val="00D53FB1"/>
    <w:rsid w:val="00D55621"/>
    <w:rsid w:val="00D66D37"/>
    <w:rsid w:val="00DA42ED"/>
    <w:rsid w:val="00DE3E47"/>
    <w:rsid w:val="00DE55D1"/>
    <w:rsid w:val="00E0066B"/>
    <w:rsid w:val="00E2556E"/>
    <w:rsid w:val="00E60B27"/>
    <w:rsid w:val="00E73CBA"/>
    <w:rsid w:val="00E9076D"/>
    <w:rsid w:val="00E93F7B"/>
    <w:rsid w:val="00E97A7D"/>
    <w:rsid w:val="00EA1596"/>
    <w:rsid w:val="00EB52E4"/>
    <w:rsid w:val="00EC44FE"/>
    <w:rsid w:val="00EC6707"/>
    <w:rsid w:val="00EF0C53"/>
    <w:rsid w:val="00F003D3"/>
    <w:rsid w:val="00F357D8"/>
    <w:rsid w:val="00F47FC7"/>
    <w:rsid w:val="00F5127A"/>
    <w:rsid w:val="00F61F4D"/>
    <w:rsid w:val="00F7022B"/>
    <w:rsid w:val="00F96511"/>
    <w:rsid w:val="00FA6ECD"/>
    <w:rsid w:val="00FB317C"/>
    <w:rsid w:val="00FD2299"/>
    <w:rsid w:val="00FE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68"/>
  </w:style>
  <w:style w:type="paragraph" w:styleId="1">
    <w:name w:val="heading 1"/>
    <w:basedOn w:val="a"/>
    <w:link w:val="10"/>
    <w:uiPriority w:val="9"/>
    <w:qFormat/>
    <w:rsid w:val="00516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8BB"/>
    <w:pPr>
      <w:ind w:left="720"/>
      <w:contextualSpacing/>
    </w:pPr>
  </w:style>
  <w:style w:type="character" w:styleId="a7">
    <w:name w:val="Emphasis"/>
    <w:basedOn w:val="a0"/>
    <w:uiPriority w:val="20"/>
    <w:qFormat/>
    <w:rsid w:val="006E7ACF"/>
    <w:rPr>
      <w:i/>
      <w:iCs/>
    </w:rPr>
  </w:style>
  <w:style w:type="paragraph" w:styleId="a8">
    <w:name w:val="Normal (Web)"/>
    <w:basedOn w:val="a"/>
    <w:uiPriority w:val="99"/>
    <w:semiHidden/>
    <w:unhideWhenUsed/>
    <w:rsid w:val="00CC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TML">
    <w:name w:val="HTML Cite"/>
    <w:basedOn w:val="a0"/>
    <w:uiPriority w:val="99"/>
    <w:semiHidden/>
    <w:unhideWhenUsed/>
    <w:rsid w:val="00C132E2"/>
    <w:rPr>
      <w:i/>
      <w:iCs/>
    </w:rPr>
  </w:style>
  <w:style w:type="character" w:customStyle="1" w:styleId="eipwbe">
    <w:name w:val="eipwbe"/>
    <w:basedOn w:val="a0"/>
    <w:rsid w:val="00C132E2"/>
  </w:style>
  <w:style w:type="character" w:customStyle="1" w:styleId="title-line1">
    <w:name w:val="title-line1"/>
    <w:basedOn w:val="a0"/>
    <w:rsid w:val="00012283"/>
  </w:style>
  <w:style w:type="character" w:customStyle="1" w:styleId="title-line2">
    <w:name w:val="title-line2"/>
    <w:basedOn w:val="a0"/>
    <w:rsid w:val="00012283"/>
  </w:style>
  <w:style w:type="character" w:customStyle="1" w:styleId="10">
    <w:name w:val="Заголовок 1 Знак"/>
    <w:basedOn w:val="a0"/>
    <w:link w:val="1"/>
    <w:uiPriority w:val="9"/>
    <w:rsid w:val="005163B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stat.gov.ua/druk/publicat/kat_u/2019/zb/08/zb_tabl_nar_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iki.com/10561127/bzhd/zakoni_zakonodavchi_normativni_akti_reglamentuyut_riven_individualnogo_rizi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se.multycourse.com.ua/ua/page/19/11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edorovaelensme@gmail.com" TargetMode="External"/><Relationship Id="rId10" Type="http://schemas.openxmlformats.org/officeDocument/2006/relationships/hyperlink" Target="https://lexinform.com.ua/dumka-eksperta/tendentsiyi-i-protydiya-zlochynnosti-analiz-zagalnogo-stanu-zlochynnosti-v-ukrayini-za-2018-rik-u-porivnyanni-zi-statystychnymy-danymy-za-2013-2017-rok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org.ua/img/books/files/1568808134cplr.%20report%20on%20criminal%20statistics%20in%20ukraine.pdf?__cf_chl_jschl_tk__=6149a3978de11f08944284c0682c8359d00c2e56-1589878435-0-AYJFzKITkHZf3AXU90cQZniEtyBO0J_1VDDvruGl9_UyOECMaehCzlEO2Q0GuJzO1Elcgt4e1qOxz93UuNfuVev7LtKIjOV07DzszWYGhrlGo5o2Y_Ghx5T69u0-3_hulMInJC9wbSgOSWCzcGvmm5KYjiApH0tvoGCXPQ1UHLoY3s8-i6sJQaR1FxDotUCC_aGNQQU_a8qb1AO0aBkRTaNLvH_skOQBGJAXCvnI0_xG6VB4hNVE55eEGpT1Fr1N4DXvz8PlA7dgZDA9WVC-pohd4UiY3AE6wvdmyrcwoZQkqPogVIezWHkKp8-dRaZilKxMI9g9-qxh7gTt8pamCjFec0S9JNRvlFOhNXMpf2v3SVTXJbvSRN_8on1yNPT1jOm5uT7F1eRKOW5ZbfLQ5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10524</Words>
  <Characters>6000</Characters>
  <Application>Microsoft Office Word</Application>
  <DocSecurity>0</DocSecurity>
  <Lines>50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150</cp:revision>
  <dcterms:created xsi:type="dcterms:W3CDTF">2020-02-02T16:25:00Z</dcterms:created>
  <dcterms:modified xsi:type="dcterms:W3CDTF">2020-05-19T11:17:00Z</dcterms:modified>
</cp:coreProperties>
</file>