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BB" w:rsidRDefault="00611D29" w:rsidP="00611D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D46BB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ГІГІЄНІЧНА ОЦІНКА РИЗИКУ ТА ПРОГНОЗ ВПЛИВУ УМОВ ПРАЦІ </w:t>
      </w:r>
      <w:bookmarkStart w:id="1" w:name="_Hlk509399386"/>
      <w:r w:rsidRPr="00DD46BB">
        <w:rPr>
          <w:rFonts w:ascii="Times New Roman" w:hAnsi="Times New Roman" w:cs="Times New Roman"/>
          <w:sz w:val="28"/>
          <w:szCs w:val="28"/>
          <w:lang w:val="uk-UA"/>
        </w:rPr>
        <w:t>НА ЗДОРОВ’Я ТА СТАН СЛУХОВОГО АНАЛІЗАТОРА ОПЕРАТОРІВ З РОЗЛИВУ БЕЗАЛКОГОЛЬНИХ ТА СЛАБОАЛКОГОЛЬНИХ НАПОЇВ</w:t>
      </w:r>
    </w:p>
    <w:bookmarkEnd w:id="1"/>
    <w:p w:rsidR="00A1131D" w:rsidRDefault="00C65701" w:rsidP="00A113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Яворовський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611D29" w:rsidRPr="001D4A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2195C" w:rsidRPr="0082195C">
        <w:rPr>
          <w:rFonts w:ascii="Times New Roman" w:hAnsi="Times New Roman" w:cs="Times New Roman"/>
          <w:sz w:val="28"/>
          <w:szCs w:val="28"/>
          <w:lang w:val="uk-UA"/>
        </w:rPr>
        <w:t>Брухно</w:t>
      </w:r>
      <w:proofErr w:type="spellEnd"/>
      <w:r w:rsidR="0082195C" w:rsidRPr="0082195C"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  <w:r w:rsidR="00611D29" w:rsidRPr="001D4A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11D29" w:rsidRPr="001D4ACB">
        <w:rPr>
          <w:rFonts w:ascii="Times New Roman" w:hAnsi="Times New Roman" w:cs="Times New Roman"/>
          <w:sz w:val="28"/>
          <w:szCs w:val="28"/>
          <w:lang w:val="uk-UA"/>
        </w:rPr>
        <w:t>, Литвинова Л.О.</w:t>
      </w:r>
      <w:r w:rsidR="00611D29" w:rsidRPr="001D4A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11D29" w:rsidRPr="001D4A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131D" w:rsidRPr="001D4ACB">
        <w:rPr>
          <w:rFonts w:ascii="Times New Roman" w:hAnsi="Times New Roman" w:cs="Times New Roman"/>
          <w:sz w:val="28"/>
          <w:szCs w:val="28"/>
          <w:lang w:val="uk-UA"/>
        </w:rPr>
        <w:t>Тонковид</w:t>
      </w:r>
      <w:proofErr w:type="spellEnd"/>
      <w:r w:rsidR="00A1131D" w:rsidRPr="001D4ACB"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  <w:r w:rsidR="00A1131D" w:rsidRPr="001D4A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1D4ACB" w:rsidRDefault="001D4ACB" w:rsidP="001D4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ACB">
        <w:rPr>
          <w:rFonts w:ascii="Times New Roman" w:hAnsi="Times New Roman" w:cs="Times New Roman"/>
          <w:sz w:val="28"/>
          <w:szCs w:val="28"/>
          <w:lang w:val="uk-UA"/>
        </w:rPr>
        <w:t>Солоха Н.В.</w:t>
      </w:r>
      <w:r w:rsidRPr="001D4A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D4ACB" w:rsidRPr="001D4ACB" w:rsidRDefault="001D4ACB" w:rsidP="001D4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95C" w:rsidRPr="00611D29" w:rsidRDefault="0082195C" w:rsidP="00611D2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На</w:t>
      </w:r>
      <w:r w:rsidR="00B85CD3" w:rsidRPr="00611D29">
        <w:rPr>
          <w:rFonts w:ascii="Times New Roman" w:hAnsi="Times New Roman" w:cs="Times New Roman"/>
          <w:sz w:val="28"/>
          <w:szCs w:val="28"/>
        </w:rPr>
        <w:t>ціональний</w:t>
      </w:r>
      <w:proofErr w:type="spellEnd"/>
      <w:r w:rsidR="00B85CD3"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CD3" w:rsidRPr="00611D29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="00B85CD3"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CD3" w:rsidRPr="00611D2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О.О.</w:t>
      </w:r>
      <w:r w:rsidR="00F373F3" w:rsidRPr="00611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Богомольця</w:t>
      </w:r>
      <w:proofErr w:type="spellEnd"/>
      <w:r w:rsidR="00611D29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73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D29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230A5B" w:rsidRPr="00611D29" w:rsidRDefault="00611D29" w:rsidP="00611D2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 П.Л.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Шупика</w:t>
      </w:r>
      <w:proofErr w:type="spellEnd"/>
      <w:r w:rsidRPr="00611D2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11D29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:rsidR="00471968" w:rsidRDefault="0082195C" w:rsidP="00611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E71">
        <w:rPr>
          <w:rFonts w:ascii="Times New Roman" w:hAnsi="Times New Roman" w:cs="Times New Roman"/>
          <w:sz w:val="28"/>
          <w:szCs w:val="28"/>
          <w:lang w:val="uk-UA"/>
        </w:rPr>
        <w:t>Мета роботи</w:t>
      </w:r>
      <w:r w:rsidR="008D575E" w:rsidRPr="006C0E71">
        <w:rPr>
          <w:rFonts w:ascii="Times New Roman" w:hAnsi="Times New Roman" w:cs="Times New Roman"/>
          <w:sz w:val="28"/>
          <w:szCs w:val="28"/>
          <w:lang w:val="uk-UA"/>
        </w:rPr>
        <w:t xml:space="preserve"> полягала в о</w:t>
      </w:r>
      <w:r w:rsidR="00DD46BB" w:rsidRPr="006C0E71">
        <w:rPr>
          <w:rFonts w:ascii="Times New Roman" w:hAnsi="Times New Roman" w:cs="Times New Roman"/>
          <w:sz w:val="28"/>
          <w:szCs w:val="28"/>
          <w:lang w:val="uk-UA"/>
        </w:rPr>
        <w:t>цін</w:t>
      </w:r>
      <w:r w:rsidR="006C0E71" w:rsidRPr="006C0E7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D46BB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6C0E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46BB">
        <w:rPr>
          <w:rFonts w:ascii="Times New Roman" w:hAnsi="Times New Roman" w:cs="Times New Roman"/>
          <w:sz w:val="28"/>
          <w:szCs w:val="28"/>
          <w:lang w:val="uk-UA"/>
        </w:rPr>
        <w:t xml:space="preserve"> та скла</w:t>
      </w:r>
      <w:r w:rsidR="006C0E71">
        <w:rPr>
          <w:rFonts w:ascii="Times New Roman" w:hAnsi="Times New Roman" w:cs="Times New Roman"/>
          <w:sz w:val="28"/>
          <w:szCs w:val="28"/>
          <w:lang w:val="uk-UA"/>
        </w:rPr>
        <w:t>данні</w:t>
      </w:r>
      <w:r w:rsidR="00DD46BB">
        <w:rPr>
          <w:rFonts w:ascii="Times New Roman" w:hAnsi="Times New Roman" w:cs="Times New Roman"/>
          <w:sz w:val="28"/>
          <w:szCs w:val="28"/>
          <w:lang w:val="uk-UA"/>
        </w:rPr>
        <w:t xml:space="preserve"> прогноз</w:t>
      </w:r>
      <w:r w:rsidR="006C0E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46BB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негативного впливу умов праці </w:t>
      </w:r>
      <w:r w:rsidR="00DD46BB" w:rsidRPr="00DD46BB">
        <w:rPr>
          <w:rFonts w:ascii="Times New Roman" w:hAnsi="Times New Roman" w:cs="Times New Roman"/>
          <w:sz w:val="28"/>
          <w:szCs w:val="28"/>
          <w:lang w:val="uk-UA"/>
        </w:rPr>
        <w:t>на здоров’я та стан слухового аналізатора операторів з розливу безалкогольних та слабоалкогольних напоїв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27B" w:rsidRPr="00B553D3" w:rsidRDefault="0087027B" w:rsidP="00B55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t>Оцінку ризиків проведено з використанням загальноприйнятих методичних підходів з врахуванням класу умов праці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використанням </w:t>
      </w:r>
      <w:r>
        <w:rPr>
          <w:rFonts w:ascii="Times New Roman" w:hAnsi="Times New Roman"/>
          <w:sz w:val="28"/>
          <w:szCs w:val="28"/>
          <w:lang w:val="uk-UA"/>
        </w:rPr>
        <w:t xml:space="preserve">ряду 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медико-біологічних показників,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зокрема, </w:t>
      </w:r>
      <w:r w:rsidRPr="00DB2402">
        <w:rPr>
          <w:rFonts w:ascii="Times New Roman" w:hAnsi="Times New Roman"/>
          <w:sz w:val="28"/>
          <w:szCs w:val="28"/>
          <w:lang w:val="uk-UA"/>
        </w:rPr>
        <w:t>дан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про ранні прояви професійної патології та показник</w:t>
      </w:r>
      <w:r w:rsidR="00B553D3">
        <w:rPr>
          <w:rFonts w:ascii="Times New Roman" w:hAnsi="Times New Roman"/>
          <w:sz w:val="28"/>
          <w:szCs w:val="28"/>
          <w:lang w:val="uk-UA"/>
        </w:rPr>
        <w:t>ів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виробничо-обумовленої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загальної захворюваності</w:t>
      </w:r>
      <w:r w:rsidR="006C0E71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даних про </w:t>
      </w:r>
      <w:r w:rsidRPr="00DB2402">
        <w:rPr>
          <w:rFonts w:ascii="Times New Roman" w:hAnsi="Times New Roman"/>
          <w:sz w:val="28"/>
          <w:szCs w:val="28"/>
          <w:lang w:val="uk-UA"/>
        </w:rPr>
        <w:t>показники біологічного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5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Прогностичну оцінку ймовірності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сенсоневральної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приглухуватості в залежності від стажу роботи виконано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</w:t>
      </w:r>
      <w:r w:rsidRPr="00870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70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 та методу логістичної регресії.</w:t>
      </w:r>
    </w:p>
    <w:p w:rsidR="0087027B" w:rsidRPr="00DB2402" w:rsidRDefault="0087027B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t>За результатами фізіолого-гігієнічної оцінки умов праці операторів з розливу напоїв виявлено, що згідно з критеріями Гігієнічної класифікації праці, затвердженої наказом №248 від 08.04.2014 року, умови праці відносяться до класу 3.2 (шкідливі 2 ступеня).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лас умов праці операторів з розливу напоїв відповідає середньому (суттєвому) ризику. </w:t>
      </w:r>
      <w:r w:rsidR="00B553D3" w:rsidRPr="00DB2402">
        <w:rPr>
          <w:rFonts w:ascii="Times New Roman" w:hAnsi="Times New Roman"/>
          <w:sz w:val="28"/>
          <w:szCs w:val="28"/>
          <w:lang w:val="uk-UA"/>
        </w:rPr>
        <w:t xml:space="preserve">Провідним шкідливим фактором виробничого середовища операторів з розливу напоїв є постійний, широкосмуговий шум з перевищенням ГДР на середніх та високих частотах (500-8000 </w:t>
      </w:r>
      <w:proofErr w:type="spellStart"/>
      <w:r w:rsidR="00B553D3" w:rsidRPr="00DB2402">
        <w:rPr>
          <w:rFonts w:ascii="Times New Roman" w:hAnsi="Times New Roman"/>
          <w:sz w:val="28"/>
          <w:szCs w:val="28"/>
          <w:lang w:val="uk-UA"/>
        </w:rPr>
        <w:t>Гц</w:t>
      </w:r>
      <w:proofErr w:type="spellEnd"/>
      <w:r w:rsidR="00B553D3" w:rsidRPr="00DB2402">
        <w:rPr>
          <w:rFonts w:ascii="Times New Roman" w:hAnsi="Times New Roman"/>
          <w:sz w:val="28"/>
          <w:szCs w:val="28"/>
          <w:lang w:val="uk-UA"/>
        </w:rPr>
        <w:t>.).</w:t>
      </w:r>
      <w:r w:rsidR="00B55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3D3" w:rsidRPr="00B8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Зафіксовано перевищення допустимих рівнів шуму на більшості робочих місць операторів з розливу на </w:t>
      </w:r>
      <w:r w:rsidR="00B5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4,4</w:t>
      </w:r>
      <w:r w:rsidR="00B553D3" w:rsidRPr="00B8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5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4,7</w:t>
      </w:r>
      <w:r w:rsidR="00B553D3" w:rsidRPr="00B85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дБА.</w:t>
      </w:r>
    </w:p>
    <w:p w:rsidR="0087027B" w:rsidRPr="00DB2402" w:rsidRDefault="0087027B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lastRenderedPageBreak/>
        <w:t>В ході оцінки професійного ризику з урахування медико-біологічних показників було вирахувано індекс профзахворювання</w:t>
      </w:r>
      <w:r w:rsidR="006C0E7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6C0E71">
        <w:rPr>
          <w:rFonts w:ascii="Times New Roman" w:hAnsi="Times New Roman"/>
          <w:sz w:val="28"/>
          <w:szCs w:val="28"/>
          <w:lang w:val="uk-UA"/>
        </w:rPr>
        <w:t>Іпз</w:t>
      </w:r>
      <w:proofErr w:type="spellEnd"/>
      <w:r w:rsidR="006C0E71">
        <w:rPr>
          <w:rFonts w:ascii="Times New Roman" w:hAnsi="Times New Roman"/>
          <w:sz w:val="28"/>
          <w:szCs w:val="28"/>
          <w:lang w:val="uk-UA"/>
        </w:rPr>
        <w:t>)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164395">
        <w:rPr>
          <w:rFonts w:ascii="Times New Roman" w:hAnsi="Times New Roman"/>
          <w:sz w:val="28"/>
          <w:szCs w:val="28"/>
          <w:lang w:val="uk-UA"/>
        </w:rPr>
        <w:t>сенсоневральної</w:t>
      </w:r>
      <w:proofErr w:type="spellEnd"/>
      <w:r w:rsidR="00164395">
        <w:rPr>
          <w:rFonts w:ascii="Times New Roman" w:hAnsi="Times New Roman"/>
          <w:sz w:val="28"/>
          <w:szCs w:val="28"/>
          <w:lang w:val="uk-UA"/>
        </w:rPr>
        <w:t xml:space="preserve"> приглухуватості (СНП)</w:t>
      </w:r>
      <w:r w:rsidRPr="00DB2402">
        <w:rPr>
          <w:rFonts w:ascii="Times New Roman" w:hAnsi="Times New Roman"/>
          <w:sz w:val="28"/>
          <w:szCs w:val="28"/>
          <w:lang w:val="uk-UA"/>
        </w:rPr>
        <w:t>, визначено відносний ризик</w:t>
      </w:r>
      <w:r w:rsidR="006C0E7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0E71">
        <w:rPr>
          <w:rFonts w:ascii="Times New Roman" w:hAnsi="Times New Roman"/>
          <w:sz w:val="28"/>
          <w:szCs w:val="28"/>
          <w:lang w:val="en-US"/>
        </w:rPr>
        <w:t>RR</w:t>
      </w:r>
      <w:r w:rsidR="006C0E71">
        <w:rPr>
          <w:rFonts w:ascii="Times New Roman" w:hAnsi="Times New Roman"/>
          <w:sz w:val="28"/>
          <w:szCs w:val="28"/>
          <w:lang w:val="uk-UA"/>
        </w:rPr>
        <w:t>)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proofErr w:type="spellStart"/>
      <w:r w:rsidRPr="00DB2402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DB2402">
        <w:rPr>
          <w:rFonts w:ascii="Times New Roman" w:hAnsi="Times New Roman"/>
          <w:sz w:val="28"/>
          <w:szCs w:val="28"/>
          <w:lang w:val="uk-UA"/>
        </w:rPr>
        <w:t xml:space="preserve"> системи кровообігу</w:t>
      </w:r>
      <w:r w:rsidR="006C0E7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B2402">
        <w:rPr>
          <w:rFonts w:ascii="Times New Roman" w:hAnsi="Times New Roman"/>
          <w:sz w:val="28"/>
          <w:szCs w:val="28"/>
          <w:lang w:val="uk-UA"/>
        </w:rPr>
        <w:t>оцінено причинно-наслідкові зв’язки між ними та умовами праці,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2402">
        <w:rPr>
          <w:rFonts w:ascii="Times New Roman" w:hAnsi="Times New Roman"/>
          <w:sz w:val="28"/>
          <w:szCs w:val="28"/>
          <w:lang w:val="uk-UA"/>
        </w:rPr>
        <w:t>професійний ризик за темпами старіння працівників.</w:t>
      </w:r>
    </w:p>
    <w:p w:rsidR="0087027B" w:rsidRPr="00DB2402" w:rsidRDefault="0087027B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t xml:space="preserve">Отримане значення індексу профзахворювання за </w:t>
      </w:r>
      <w:bookmarkStart w:id="2" w:name="_Hlk485729783"/>
      <w:r w:rsidRPr="00DB2402">
        <w:rPr>
          <w:rFonts w:ascii="Times New Roman" w:hAnsi="Times New Roman"/>
          <w:sz w:val="28"/>
          <w:szCs w:val="28"/>
          <w:lang w:val="uk-UA"/>
        </w:rPr>
        <w:t xml:space="preserve">ранніми ознаками </w:t>
      </w:r>
      <w:bookmarkEnd w:id="2"/>
      <w:r w:rsidRPr="00DB2402">
        <w:rPr>
          <w:rFonts w:ascii="Times New Roman" w:hAnsi="Times New Roman"/>
          <w:sz w:val="28"/>
          <w:szCs w:val="28"/>
          <w:lang w:val="uk-UA"/>
        </w:rPr>
        <w:t>СНП (</w:t>
      </w:r>
      <w:proofErr w:type="spellStart"/>
      <w:r w:rsidRPr="00DB2402">
        <w:rPr>
          <w:rFonts w:ascii="Times New Roman" w:hAnsi="Times New Roman"/>
          <w:sz w:val="28"/>
          <w:szCs w:val="28"/>
          <w:lang w:val="uk-UA"/>
        </w:rPr>
        <w:t>Іпз</w:t>
      </w:r>
      <w:proofErr w:type="spellEnd"/>
      <w:r w:rsidRPr="00DB2402">
        <w:rPr>
          <w:rFonts w:ascii="Times New Roman" w:hAnsi="Times New Roman"/>
          <w:sz w:val="28"/>
          <w:szCs w:val="28"/>
          <w:lang w:val="uk-UA"/>
        </w:rPr>
        <w:t xml:space="preserve"> = 0,17) відповідає середньому (суттєвому) професійному ризику та може бути </w:t>
      </w:r>
      <w:proofErr w:type="spellStart"/>
      <w:r w:rsidRPr="00DB2402">
        <w:rPr>
          <w:rFonts w:ascii="Times New Roman" w:hAnsi="Times New Roman"/>
          <w:sz w:val="28"/>
          <w:szCs w:val="28"/>
          <w:lang w:val="uk-UA"/>
        </w:rPr>
        <w:t>співставлене</w:t>
      </w:r>
      <w:proofErr w:type="spellEnd"/>
      <w:r w:rsidRPr="00DB2402">
        <w:rPr>
          <w:rFonts w:ascii="Times New Roman" w:hAnsi="Times New Roman"/>
          <w:sz w:val="28"/>
          <w:szCs w:val="28"/>
          <w:lang w:val="uk-UA"/>
        </w:rPr>
        <w:t xml:space="preserve"> з класом умов праці 3.2 (шкідливі 2 ступеня).</w:t>
      </w:r>
    </w:p>
    <w:p w:rsidR="0087027B" w:rsidRPr="00DB2402" w:rsidRDefault="00164395" w:rsidP="00164395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ідносний ризик розвитку </w:t>
      </w:r>
      <w:proofErr w:type="spellStart"/>
      <w:r w:rsidR="0087027B" w:rsidRPr="00DB2402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системи кровообігу </w:t>
      </w:r>
      <w:r>
        <w:rPr>
          <w:rFonts w:ascii="Times New Roman" w:hAnsi="Times New Roman"/>
          <w:sz w:val="28"/>
          <w:szCs w:val="28"/>
          <w:lang w:val="uk-UA"/>
        </w:rPr>
        <w:t>для операторів з розливу напоїв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становив </w:t>
      </w:r>
      <w:r>
        <w:rPr>
          <w:rFonts w:ascii="Times New Roman" w:hAnsi="Times New Roman"/>
          <w:sz w:val="28"/>
          <w:szCs w:val="28"/>
          <w:lang w:val="uk-UA"/>
        </w:rPr>
        <w:t xml:space="preserve">2,0 - 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2,08. Цей показник характеризує ступінь причинно-наслідкового зв’язку </w:t>
      </w:r>
      <w:proofErr w:type="spellStart"/>
      <w:r w:rsidR="0087027B" w:rsidRPr="00DB2402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системи кровообігу з </w:t>
      </w:r>
      <w:r w:rsidR="00471968">
        <w:rPr>
          <w:rFonts w:ascii="Times New Roman" w:hAnsi="Times New Roman"/>
          <w:sz w:val="28"/>
          <w:szCs w:val="28"/>
          <w:lang w:val="uk-UA"/>
        </w:rPr>
        <w:t>умовами праці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як високий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3" w:name="_Hlk485733639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Одержані дані </w:t>
      </w:r>
      <w:r w:rsidR="00B553D3" w:rsidRPr="00DB2402">
        <w:rPr>
          <w:rFonts w:ascii="Times New Roman" w:hAnsi="Times New Roman"/>
          <w:sz w:val="28"/>
          <w:szCs w:val="28"/>
          <w:lang w:val="uk-UA"/>
        </w:rPr>
        <w:t>оцін</w:t>
      </w:r>
      <w:r w:rsidR="00B553D3">
        <w:rPr>
          <w:rFonts w:ascii="Times New Roman" w:hAnsi="Times New Roman"/>
          <w:sz w:val="28"/>
          <w:szCs w:val="28"/>
          <w:lang w:val="uk-UA"/>
        </w:rPr>
        <w:t>ки</w:t>
      </w:r>
      <w:r w:rsidR="00B553D3" w:rsidRPr="00DB2402">
        <w:rPr>
          <w:rFonts w:ascii="Times New Roman" w:hAnsi="Times New Roman"/>
          <w:sz w:val="28"/>
          <w:szCs w:val="28"/>
          <w:lang w:val="uk-UA"/>
        </w:rPr>
        <w:t xml:space="preserve"> причинно-наслідков</w:t>
      </w:r>
      <w:r w:rsidR="00B553D3">
        <w:rPr>
          <w:rFonts w:ascii="Times New Roman" w:hAnsi="Times New Roman"/>
          <w:sz w:val="28"/>
          <w:szCs w:val="28"/>
          <w:lang w:val="uk-UA"/>
        </w:rPr>
        <w:t>их</w:t>
      </w:r>
      <w:r w:rsidR="00B553D3" w:rsidRPr="00DB24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53D3" w:rsidRPr="00DB2402">
        <w:rPr>
          <w:rFonts w:ascii="Times New Roman" w:hAnsi="Times New Roman"/>
          <w:sz w:val="28"/>
          <w:szCs w:val="28"/>
          <w:lang w:val="uk-UA"/>
        </w:rPr>
        <w:t>зв’язк</w:t>
      </w:r>
      <w:r w:rsidR="00B553D3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B553D3" w:rsidRPr="00DB2402">
        <w:rPr>
          <w:rFonts w:ascii="Times New Roman" w:hAnsi="Times New Roman"/>
          <w:sz w:val="28"/>
          <w:szCs w:val="28"/>
          <w:lang w:val="uk-UA"/>
        </w:rPr>
        <w:t xml:space="preserve"> між </w:t>
      </w:r>
      <w:r w:rsidR="00B553D3">
        <w:rPr>
          <w:rFonts w:ascii="Times New Roman" w:hAnsi="Times New Roman"/>
          <w:sz w:val="28"/>
          <w:szCs w:val="28"/>
          <w:lang w:val="uk-UA"/>
        </w:rPr>
        <w:t>рівнями захворюваності</w:t>
      </w:r>
      <w:r w:rsidR="00B553D3" w:rsidRPr="00DB2402">
        <w:rPr>
          <w:rFonts w:ascii="Times New Roman" w:hAnsi="Times New Roman"/>
          <w:sz w:val="28"/>
          <w:szCs w:val="28"/>
          <w:lang w:val="uk-UA"/>
        </w:rPr>
        <w:t xml:space="preserve"> та умовами праці 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>свідчать про те, що хвороби системи кровообігу є виробничо-обумовленими для даного контингенту працюючих</w:t>
      </w:r>
      <w:bookmarkEnd w:id="3"/>
      <w:r w:rsidR="0087027B" w:rsidRPr="00DB2402">
        <w:rPr>
          <w:rFonts w:ascii="Times New Roman" w:hAnsi="Times New Roman"/>
          <w:sz w:val="28"/>
          <w:szCs w:val="28"/>
          <w:lang w:val="uk-UA"/>
        </w:rPr>
        <w:t>.</w:t>
      </w:r>
    </w:p>
    <w:p w:rsidR="0087027B" w:rsidRPr="00DB2402" w:rsidRDefault="0087027B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t>При оцінці професійного ризику за біологічним віком було виявлено, що значення показника різниці фактичного і належного біологічного віку</w:t>
      </w:r>
      <w:r w:rsidR="00164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2402">
        <w:rPr>
          <w:rFonts w:ascii="Times New Roman" w:hAnsi="Times New Roman"/>
          <w:sz w:val="28"/>
          <w:szCs w:val="28"/>
          <w:lang w:val="uk-UA"/>
        </w:rPr>
        <w:t>(9,44 ± 1,97) відповідає високому професійному ризику, а у підгрупах працівників віком 50 років і більше та працівників зі стажем 16 років і більше – дуже високому.</w:t>
      </w:r>
    </w:p>
    <w:p w:rsidR="0087027B" w:rsidRPr="00DB2402" w:rsidRDefault="0087027B" w:rsidP="00164395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t>Крім того, незважаючи на уповільнення темпів старіння</w:t>
      </w:r>
      <w:r w:rsidR="006C0E71">
        <w:rPr>
          <w:rFonts w:ascii="Times New Roman" w:hAnsi="Times New Roman"/>
          <w:sz w:val="28"/>
          <w:szCs w:val="28"/>
          <w:lang w:val="uk-UA"/>
        </w:rPr>
        <w:t>,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зі збільшенням віку та виробничого стажу працівників, професійний ризик за даним показником залишається високим та дуже високим фактично для всіх вікових та </w:t>
      </w:r>
      <w:proofErr w:type="spellStart"/>
      <w:r w:rsidRPr="00DB2402">
        <w:rPr>
          <w:rFonts w:ascii="Times New Roman" w:hAnsi="Times New Roman"/>
          <w:sz w:val="28"/>
          <w:szCs w:val="28"/>
          <w:lang w:val="uk-UA"/>
        </w:rPr>
        <w:t>стажових</w:t>
      </w:r>
      <w:proofErr w:type="spellEnd"/>
      <w:r w:rsidRPr="00DB2402">
        <w:rPr>
          <w:rFonts w:ascii="Times New Roman" w:hAnsi="Times New Roman"/>
          <w:sz w:val="28"/>
          <w:szCs w:val="28"/>
          <w:lang w:val="uk-UA"/>
        </w:rPr>
        <w:t xml:space="preserve"> підгруп працівників, за винятком вікової підгрупи 50 років і більше для якої професійний ризик є середнім (суттєвим).</w:t>
      </w:r>
    </w:p>
    <w:p w:rsidR="0087027B" w:rsidRPr="00DB2402" w:rsidRDefault="006C0E71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застосуванням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27B" w:rsidRPr="00DB2402">
        <w:rPr>
          <w:rFonts w:ascii="Times New Roman" w:hAnsi="Times New Roman"/>
          <w:sz w:val="28"/>
          <w:szCs w:val="28"/>
          <w:lang w:val="en-US"/>
        </w:rPr>
        <w:t>ROC</w:t>
      </w:r>
      <w:r w:rsidR="0087027B" w:rsidRPr="00DB2402">
        <w:rPr>
          <w:rFonts w:ascii="Times New Roman" w:hAnsi="Times New Roman"/>
          <w:sz w:val="28"/>
          <w:szCs w:val="28"/>
        </w:rPr>
        <w:t xml:space="preserve"> – 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>аналіз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нами визначено пороговий рівень стажу роботи, перевищення якого супроводжується значимим приростом частоти виявлення порушень слуху у вигляді </w:t>
      </w:r>
      <w:proofErr w:type="spellStart"/>
      <w:r w:rsidR="0087027B" w:rsidRPr="00DB2402">
        <w:rPr>
          <w:rFonts w:ascii="Times New Roman" w:hAnsi="Times New Roman"/>
          <w:sz w:val="28"/>
          <w:szCs w:val="28"/>
          <w:lang w:val="uk-UA"/>
        </w:rPr>
        <w:t>сенсоневральної</w:t>
      </w:r>
      <w:proofErr w:type="spellEnd"/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приглухуватості. Встановлено, що таким пороговим рівнем є стаж 8 років і вище. Перевищення стажу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8 років і більше 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в умовах підвищеного шуму супроводжується зростанням ризику розвитку </w:t>
      </w:r>
      <w:proofErr w:type="spellStart"/>
      <w:r w:rsidR="0087027B" w:rsidRPr="00DB2402">
        <w:rPr>
          <w:rFonts w:ascii="Times New Roman" w:hAnsi="Times New Roman"/>
          <w:sz w:val="28"/>
          <w:szCs w:val="28"/>
          <w:lang w:val="uk-UA"/>
        </w:rPr>
        <w:t>сенсоневральної</w:t>
      </w:r>
      <w:proofErr w:type="spellEnd"/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приглухуватості працівників у 7,6 раз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>.</w:t>
      </w:r>
    </w:p>
    <w:p w:rsidR="0087027B" w:rsidRPr="00DB2402" w:rsidRDefault="006C0E71" w:rsidP="00097643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r w:rsidR="00097643">
        <w:rPr>
          <w:rFonts w:ascii="Times New Roman" w:hAnsi="Times New Roman"/>
          <w:sz w:val="28"/>
          <w:szCs w:val="28"/>
          <w:lang w:val="uk-UA"/>
        </w:rPr>
        <w:t>етод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097643">
        <w:rPr>
          <w:rFonts w:ascii="Times New Roman" w:hAnsi="Times New Roman"/>
          <w:sz w:val="28"/>
          <w:szCs w:val="28"/>
          <w:lang w:val="uk-UA"/>
        </w:rPr>
        <w:t xml:space="preserve"> логістичної регресії нами було оцінено </w:t>
      </w:r>
      <w:r w:rsidR="004D2DEF">
        <w:rPr>
          <w:rFonts w:ascii="Times New Roman" w:hAnsi="Times New Roman"/>
          <w:sz w:val="28"/>
          <w:szCs w:val="28"/>
          <w:lang w:val="uk-UA"/>
        </w:rPr>
        <w:t>й</w:t>
      </w:r>
      <w:r w:rsidR="00097643">
        <w:rPr>
          <w:rFonts w:ascii="Times New Roman" w:hAnsi="Times New Roman"/>
          <w:sz w:val="28"/>
          <w:szCs w:val="28"/>
          <w:lang w:val="uk-UA"/>
        </w:rPr>
        <w:t xml:space="preserve">мовірність розвитку </w:t>
      </w:r>
      <w:proofErr w:type="spellStart"/>
      <w:r w:rsidR="00097643" w:rsidRPr="00DB2402">
        <w:rPr>
          <w:rFonts w:ascii="Times New Roman" w:hAnsi="Times New Roman"/>
          <w:sz w:val="28"/>
          <w:szCs w:val="28"/>
          <w:lang w:val="uk-UA"/>
        </w:rPr>
        <w:t>сенсоневральної</w:t>
      </w:r>
      <w:proofErr w:type="spellEnd"/>
      <w:r w:rsidR="00097643" w:rsidRPr="00DB2402">
        <w:rPr>
          <w:rFonts w:ascii="Times New Roman" w:hAnsi="Times New Roman"/>
          <w:sz w:val="28"/>
          <w:szCs w:val="28"/>
          <w:lang w:val="uk-UA"/>
        </w:rPr>
        <w:t xml:space="preserve"> приглухуватості у працівників залежно від стажу роботи </w:t>
      </w:r>
      <w:r w:rsidR="00097643">
        <w:rPr>
          <w:rFonts w:ascii="Times New Roman" w:hAnsi="Times New Roman"/>
          <w:sz w:val="28"/>
          <w:szCs w:val="28"/>
          <w:lang w:val="uk-UA"/>
        </w:rPr>
        <w:t xml:space="preserve">у даних </w:t>
      </w:r>
      <w:r w:rsidR="00097643" w:rsidRPr="00DB2402">
        <w:rPr>
          <w:rFonts w:ascii="Times New Roman" w:hAnsi="Times New Roman"/>
          <w:sz w:val="28"/>
          <w:szCs w:val="28"/>
          <w:lang w:val="uk-UA"/>
        </w:rPr>
        <w:t xml:space="preserve">умовах </w:t>
      </w:r>
      <w:r w:rsidR="00097643">
        <w:rPr>
          <w:rFonts w:ascii="Times New Roman" w:hAnsi="Times New Roman"/>
          <w:sz w:val="28"/>
          <w:szCs w:val="28"/>
          <w:lang w:val="uk-UA"/>
        </w:rPr>
        <w:t>праці. Результати оцінки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 xml:space="preserve"> наочно представлено на рисунку</w:t>
      </w:r>
      <w:r w:rsidR="0009764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7027B" w:rsidRPr="00DB2402">
        <w:rPr>
          <w:rFonts w:ascii="Times New Roman" w:hAnsi="Times New Roman"/>
          <w:sz w:val="28"/>
          <w:szCs w:val="28"/>
          <w:lang w:val="uk-UA"/>
        </w:rPr>
        <w:t>.</w:t>
      </w:r>
    </w:p>
    <w:p w:rsidR="0087027B" w:rsidRPr="00DB2402" w:rsidRDefault="0087027B" w:rsidP="0087027B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B4797E" wp14:editId="07A5A96C">
            <wp:extent cx="6038850" cy="2838450"/>
            <wp:effectExtent l="0" t="0" r="0" b="0"/>
            <wp:docPr id="6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027B" w:rsidRPr="00DB2402" w:rsidRDefault="0087027B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2402"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="00097643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Оцінка </w:t>
      </w:r>
      <w:r w:rsidR="004D2DEF">
        <w:rPr>
          <w:rFonts w:ascii="Times New Roman" w:hAnsi="Times New Roman"/>
          <w:sz w:val="28"/>
          <w:szCs w:val="28"/>
          <w:lang w:val="uk-UA"/>
        </w:rPr>
        <w:t>й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мовірності </w:t>
      </w:r>
      <w:r w:rsidR="00097643">
        <w:rPr>
          <w:rFonts w:ascii="Times New Roman" w:hAnsi="Times New Roman"/>
          <w:sz w:val="28"/>
          <w:szCs w:val="28"/>
          <w:lang w:val="uk-UA"/>
        </w:rPr>
        <w:t>розвитку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2402">
        <w:rPr>
          <w:rFonts w:ascii="Times New Roman" w:hAnsi="Times New Roman"/>
          <w:sz w:val="28"/>
          <w:szCs w:val="28"/>
          <w:lang w:val="uk-UA"/>
        </w:rPr>
        <w:t>сенсоневральної</w:t>
      </w:r>
      <w:proofErr w:type="spellEnd"/>
      <w:r w:rsidRPr="00DB2402">
        <w:rPr>
          <w:rFonts w:ascii="Times New Roman" w:hAnsi="Times New Roman"/>
          <w:sz w:val="28"/>
          <w:szCs w:val="28"/>
          <w:lang w:val="uk-UA"/>
        </w:rPr>
        <w:t xml:space="preserve"> приглухуватості у працівників залежно від стажу роботи (у %).</w:t>
      </w:r>
    </w:p>
    <w:p w:rsidR="00B553D3" w:rsidRDefault="00B553D3" w:rsidP="0087027B">
      <w:pPr>
        <w:spacing w:after="0" w:line="360" w:lineRule="auto"/>
        <w:ind w:right="-284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0E71" w:rsidRDefault="006C0E71" w:rsidP="006C0E71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C0E71">
        <w:rPr>
          <w:rFonts w:ascii="Times New Roman" w:hAnsi="Times New Roman"/>
          <w:sz w:val="28"/>
          <w:szCs w:val="28"/>
          <w:lang w:val="uk-UA"/>
        </w:rPr>
        <w:t>Таким</w:t>
      </w:r>
      <w:r>
        <w:rPr>
          <w:rFonts w:ascii="Times New Roman" w:hAnsi="Times New Roman"/>
          <w:sz w:val="28"/>
          <w:szCs w:val="28"/>
          <w:lang w:val="uk-UA"/>
        </w:rPr>
        <w:t xml:space="preserve"> чином, проведені нами дослідження дозволили встановити, що оператори </w:t>
      </w:r>
      <w:r w:rsidR="00114019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розливу напоїв</w:t>
      </w:r>
      <w:r w:rsidR="00C15B84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зазнають на робочих місцях середнього (суттєвого) та високого професійного ризику</w:t>
      </w:r>
      <w:r w:rsidR="00611D29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611D29" w:rsidRPr="006C0E71">
        <w:rPr>
          <w:rFonts w:ascii="Times New Roman" w:hAnsi="Times New Roman"/>
          <w:sz w:val="28"/>
          <w:szCs w:val="28"/>
          <w:lang w:val="uk-UA"/>
        </w:rPr>
        <w:t>класом умов праці, даними про ранні прояви професійної патології, показниками виробничо-обумовленої і загальної захворюваності та даними про показники біологічного віку працюючих.</w:t>
      </w:r>
    </w:p>
    <w:p w:rsidR="005D716B" w:rsidRPr="006C0E71" w:rsidRDefault="006C0E71" w:rsidP="006C0E71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611D29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мовірність розвитку </w:t>
      </w:r>
      <w:proofErr w:type="spellStart"/>
      <w:r w:rsidR="00611D29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сенсоневральної</w:t>
      </w:r>
      <w:proofErr w:type="spellEnd"/>
      <w:r w:rsidR="00611D29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приглухуватості у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збільшенням</w:t>
      </w:r>
      <w:r w:rsidR="00611D29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стажу </w:t>
      </w:r>
      <w:r w:rsidR="005D716B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значно зростає</w:t>
      </w:r>
      <w:r w:rsidR="005D716B" w:rsidRPr="006C0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0E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B2402">
        <w:rPr>
          <w:rFonts w:ascii="Times New Roman" w:hAnsi="Times New Roman"/>
          <w:sz w:val="28"/>
          <w:szCs w:val="28"/>
          <w:lang w:val="uk-UA"/>
        </w:rPr>
        <w:t>орогови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стаж</w:t>
      </w:r>
      <w:r>
        <w:rPr>
          <w:rFonts w:ascii="Times New Roman" w:hAnsi="Times New Roman"/>
          <w:sz w:val="28"/>
          <w:szCs w:val="28"/>
          <w:lang w:val="uk-UA"/>
        </w:rPr>
        <w:t>у становить</w:t>
      </w:r>
      <w:r w:rsidRPr="00DB2402">
        <w:rPr>
          <w:rFonts w:ascii="Times New Roman" w:hAnsi="Times New Roman"/>
          <w:sz w:val="28"/>
          <w:szCs w:val="28"/>
          <w:lang w:val="uk-UA"/>
        </w:rPr>
        <w:t xml:space="preserve"> 8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2036" w:rsidRPr="00D72036" w:rsidRDefault="00D72036" w:rsidP="00B85C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036" w:rsidRPr="00D7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CD1"/>
    <w:multiLevelType w:val="hybridMultilevel"/>
    <w:tmpl w:val="8368BD56"/>
    <w:lvl w:ilvl="0" w:tplc="670A78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BC4"/>
    <w:multiLevelType w:val="hybridMultilevel"/>
    <w:tmpl w:val="81FE7B38"/>
    <w:lvl w:ilvl="0" w:tplc="EE665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4B"/>
    <w:rsid w:val="000075B6"/>
    <w:rsid w:val="00026D35"/>
    <w:rsid w:val="000316BD"/>
    <w:rsid w:val="0008568C"/>
    <w:rsid w:val="00097643"/>
    <w:rsid w:val="00114019"/>
    <w:rsid w:val="00164395"/>
    <w:rsid w:val="00171649"/>
    <w:rsid w:val="001D4ACB"/>
    <w:rsid w:val="00230A5B"/>
    <w:rsid w:val="0031091B"/>
    <w:rsid w:val="003242B5"/>
    <w:rsid w:val="004657D0"/>
    <w:rsid w:val="00471968"/>
    <w:rsid w:val="004D2DEF"/>
    <w:rsid w:val="005D716B"/>
    <w:rsid w:val="00611D29"/>
    <w:rsid w:val="006C0E71"/>
    <w:rsid w:val="00733962"/>
    <w:rsid w:val="0082195C"/>
    <w:rsid w:val="0087027B"/>
    <w:rsid w:val="008D575E"/>
    <w:rsid w:val="009C4D6E"/>
    <w:rsid w:val="00A1131D"/>
    <w:rsid w:val="00AC3E29"/>
    <w:rsid w:val="00AC796E"/>
    <w:rsid w:val="00B553D3"/>
    <w:rsid w:val="00B85CD3"/>
    <w:rsid w:val="00C15B84"/>
    <w:rsid w:val="00C65701"/>
    <w:rsid w:val="00C9731E"/>
    <w:rsid w:val="00D1024B"/>
    <w:rsid w:val="00D61446"/>
    <w:rsid w:val="00D72036"/>
    <w:rsid w:val="00DD46BB"/>
    <w:rsid w:val="00DE6FA2"/>
    <w:rsid w:val="00EC17F7"/>
    <w:rsid w:val="00F373F3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FCE"/>
  <w15:chartTrackingRefBased/>
  <w15:docId w15:val="{30BB3475-F356-4472-9E30-81850D4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702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/>
          </c:spPr>
          <c:marker>
            <c:symbol val="diamond"/>
            <c:size val="8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0.56999999999999995</c:v>
                </c:pt>
                <c:pt idx="1">
                  <c:v>0.7600000000000009</c:v>
                </c:pt>
                <c:pt idx="2">
                  <c:v>1</c:v>
                </c:pt>
                <c:pt idx="3">
                  <c:v>1.32</c:v>
                </c:pt>
                <c:pt idx="4">
                  <c:v>1.7200000000000002</c:v>
                </c:pt>
                <c:pt idx="5">
                  <c:v>2.2799999999999998</c:v>
                </c:pt>
                <c:pt idx="6">
                  <c:v>3.03</c:v>
                </c:pt>
                <c:pt idx="7">
                  <c:v>3.9899999999999998</c:v>
                </c:pt>
                <c:pt idx="8">
                  <c:v>5.2</c:v>
                </c:pt>
                <c:pt idx="9">
                  <c:v>6.6499999999999995</c:v>
                </c:pt>
                <c:pt idx="10">
                  <c:v>8.75</c:v>
                </c:pt>
                <c:pt idx="11">
                  <c:v>11.54</c:v>
                </c:pt>
                <c:pt idx="12">
                  <c:v>14.41</c:v>
                </c:pt>
                <c:pt idx="13">
                  <c:v>18.510000000000005</c:v>
                </c:pt>
                <c:pt idx="14">
                  <c:v>23.110000000000024</c:v>
                </c:pt>
                <c:pt idx="15">
                  <c:v>28.2</c:v>
                </c:pt>
                <c:pt idx="16">
                  <c:v>34.300000000000004</c:v>
                </c:pt>
                <c:pt idx="17">
                  <c:v>40.9</c:v>
                </c:pt>
                <c:pt idx="18">
                  <c:v>47.9</c:v>
                </c:pt>
                <c:pt idx="19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60-46FD-8A38-173E23D47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625152"/>
        <c:axId val="72627328"/>
      </c:lineChart>
      <c:catAx>
        <c:axId val="7262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uk-UA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Стаж</a:t>
                </a:r>
                <a:r>
                  <a:rPr lang="uk-UA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(років)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627328"/>
        <c:crosses val="autoZero"/>
        <c:auto val="1"/>
        <c:lblAlgn val="ctr"/>
        <c:lblOffset val="100"/>
        <c:noMultiLvlLbl val="0"/>
      </c:catAx>
      <c:valAx>
        <c:axId val="726273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50"/>
                </a:pPr>
                <a:r>
                  <a:rPr lang="en-US" sz="1050"/>
                  <a:t>%</a:t>
                </a:r>
              </a:p>
            </c:rich>
          </c:tx>
          <c:layout>
            <c:manualLayout>
              <c:xMode val="edge"/>
              <c:yMode val="edge"/>
              <c:x val="2.4388383168908147E-2"/>
              <c:y val="0.103713006873623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6251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cp:lastPrinted>2018-03-21T12:50:00Z</cp:lastPrinted>
  <dcterms:created xsi:type="dcterms:W3CDTF">2017-03-16T07:44:00Z</dcterms:created>
  <dcterms:modified xsi:type="dcterms:W3CDTF">2019-09-10T09:40:00Z</dcterms:modified>
</cp:coreProperties>
</file>