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ПРОФЕСІЙНОГО РОЗВИТКУ ЛІКАРЯ»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C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D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0F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10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11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Лазуренко О.О., канд.психолог.наук,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B">
      <w:pPr>
        <w:spacing w:after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№3  від «25» вересня 2025 року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2390775</wp:posOffset>
            </wp:positionH>
            <wp:positionV relativeFrom="paragraph">
              <wp:posOffset>23477</wp:posOffset>
            </wp:positionV>
            <wp:extent cx="1528445" cy="7696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769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 Розвиток особистості в процесі професіоналізації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оволодіння психологічними знаннями щодо змісту та структури діяльності, розкриття психологічних засад змісту мотиваційної сфери та спрямованості особистості.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Активність і діяльність. Роль діяльності в становленні особистості людини.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діяльність.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Психологічний зміст та структура діяльності: мета, мотиви, дії.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Мотиваційна сфера особистості.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Спрямованість особистості та форми її прояву.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Опанування діяльністю. Вміння і навички.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види діяльності людини, їх психологічна характеристика.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складові професіоналізму.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готовність лікаря, медичного психолога до професійної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Психологія діяльності, професійна психологія, активність,  потреби, мотиви, спрямованість особистості, діяльність, види діяльності, вміння, навички, професіоналізм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2. Психологічні аспекти професійного становлення фахівця 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оволодіння знаннями щодо сучасних уявлень про професійне становлення та психологічних аспектів професійного становлення фахівця; ознайомлення із сутністю та етапами професійного становлення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1.Сучасні наукові уявлення про професійне становлення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фахівця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Сутність та етапи професійного становлення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Професійне самовизначення особистості та його етапи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Складові та чинники професійного становлення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Поняття професіоналізму. Психологічні складові професіоналізму.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Кризи професійного становлення та їх подолання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Професійне  вигорання, профілактика та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подолання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професійне становлення, самовизначення особистості, професіоналізм, професійні кризи, професійне вигорання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 Професійна компетентність фахівця.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 ключових компетенцій лікаря, визначення професійного розвитку, співвідношення реального та ідеального професійного «Я»- образу, визначення факторів забезпечення ефективної діяльності лікаря.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лекції: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професійної компетентності.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визначення компетентності у психології. Категорії «компетентність» і «компетенція» в психології.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компетентність як складова професійної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Структурні складові професійної психологічної компетентності лікаря.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формування професійної психологічної компетентності майбутнього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професійної психологічної компетентності на різних етапах професійного становлення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фахівця, професійна компетентність, професійне становлення,  структурні складові професійної компетентності лікаря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4. Розвиток професійної спрямованості та ключових компетенцій лікарів на різних етапах професійного становлення.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Розгляд критеріїв та показників формування професійної спрямованості майбутніх лікарів. Аналіз ключових компетенцій лікаря.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лекції: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Професійна  спрямованість лікаря та її розвиток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Критерії та показники розвитку професійної спрямованості.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Індивідуальний підхід у формуванні професійної спрямованості майбутнього лікаря.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Вимоги до особистості фахівця, що допомагає іншим (медичний працівник, психолог, соціальний працівник та ін.).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Професійна  компетентність. Емпатія та рефлексія.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Професійна ідентичність.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  <w:t xml:space="preserve">Формування реалістичного професійного Я-образу. Професійна «Я»-концепція фахівця.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  <w:t xml:space="preserve">Аналіз та оцінка власної професійної діяльності. Характеристика помилок в роботі.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Фактори розвитку та формування професійних компетенцій лікаря.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фахівця, професійна спрямованість, критерії професійної спрямованості, формування професійної спрямованості, професійна ідентичність, професійна компетентність, професійна діяльність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5. Професіогенез та професійне самоздійснення особистості.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висвітлення проблеми саморегуляції та професійного самоздійснення, особливостей індивідуального професійного розвитку та професійного самоздійснення фахівців.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лекції: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саморегуляції та професійного самоздійснення особистості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Професіогенез особистості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Саморегуляція професійного розвитку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Етапи професійного становлення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065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професійних досягнень.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фахівця, професійне становлення, професіогенез, самоздійснення, професійне самоздійснення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426"/>
        </w:tabs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Основна: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Лазуренко, О. О.; Сміла, Н. В. (2024). Психологічний супровід професійного становлення лікаря як складова компетентнісного підходу в медичній освіті. Наукові записки. Серія: Психологія, № 1(3).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O., Smila, N. (2021). Kompetentnisnyi pidkhid yak mekhanizm realizatsii neperervnoho profesiinoho rozvytku likariv. Problemy suchasnoi psykholohii, 3, 41-48.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 (2021). The problem of psychological competence in medical education: from professional knowledge to skills. Fundamental and applied researches in practice of leading scientific schools, 44 (2), 39-44.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O., Smila, N. (2022). Osoblyvosti profesiinoho stanovlennia likaria v umovakh neperervnoi profesiinoi osvity. Naukovyi visnyk Uzhhorodskoho natsionalnoho universytetu. Seriia Psykholohiia, 2, 65-69.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 (2023). Psykholohichni osoblyvosti samorehuliatsii osobystisnoho ta profesiinoho rozvytku fakhivtsia u sferi okhorony zdorov‘ia. Visnyk Lvivskoho universytetu. Seriia psykholohichni nauky, 18, 47-53.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O., Smila, N. (2024). Psykholohichnyi suprovid profesiinoho stanovlennia likaria yak skladova kompetentnisnoho pidkhodu v medychnii osviti. Naukovi zapysky. Seriia: Psykholohiia. Zb.nauk. prats TsUDU imeni Volodymyra Vynnychenka, 1 (3), 88-96.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Lazurenko, O. (2024). Kontseptualni zasady doslidzhennia psykholohichnykh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426"/>
        </w:tabs>
        <w:spacing w:after="0" w:line="360" w:lineRule="auto"/>
        <w:ind w:right="141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osoblyvostei profesiinoho stanovlennia osobystosti. Naukovyi visnyk Uzhhorodskoho natsionalnoho universytetu. Seriia: Psykholohiia, 2, 17-22.</w:t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426"/>
        </w:tabs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426"/>
        </w:tabs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heading=h.t9712hlj5ag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426"/>
        </w:tabs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1. Бойчук, Т. М., &amp; Шевченко, О. В. (2021). Безперервний професійний розвиток лікаря: сучасні виклики та напрями удосконалення. Медична освіта, №3, с. 7–12.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2.Гуменюк, Г. В. (2020). Професійне становлення лікаря у системі післядипломної освіти. Педагогічні науки: теорія, історія, інноваційні технології, №2, с. 113–121.</w:t>
      </w:r>
    </w:p>
    <w:p w:rsidR="00000000" w:rsidDel="00000000" w:rsidP="00000000" w:rsidRDefault="00000000" w:rsidRPr="00000000" w14:paraId="00000071">
      <w:pPr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3.Кривенко, Н. П. (2022). Формування готовності лікаря до професійного саморозвитку. Проблеми підготовки сучасного вчителя, №45, с. 162–170.</w:t>
      </w:r>
    </w:p>
    <w:p w:rsidR="00000000" w:rsidDel="00000000" w:rsidP="00000000" w:rsidRDefault="00000000" w:rsidRPr="00000000" w14:paraId="00000072">
      <w:pPr>
        <w:spacing w:after="0" w:line="360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4.Литвин, В. М., &amp; Ковальчук, І. А. (2023). Психологічні аспекти професійного вигорання та саморозвитку лікаря. Український медичний часопис, №2, с. 45–49.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2D3D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2D3D23"/>
    <w:pPr>
      <w:ind w:left="720"/>
      <w:contextualSpacing w:val="1"/>
    </w:pPr>
  </w:style>
  <w:style w:type="paragraph" w:styleId="a5">
    <w:name w:val="Body Text Indent"/>
    <w:basedOn w:val="a"/>
    <w:link w:val="a6"/>
    <w:uiPriority w:val="99"/>
    <w:unhideWhenUsed w:val="1"/>
    <w:rsid w:val="002D3D23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2D3D23"/>
    <w:rPr>
      <w:lang w:val="uk-UA"/>
    </w:rPr>
  </w:style>
  <w:style w:type="character" w:styleId="a8" w:customStyle="1">
    <w:name w:val="Заголовок Знак"/>
    <w:basedOn w:val="a0"/>
    <w:link w:val="a7"/>
    <w:rsid w:val="004E28AC"/>
    <w:rPr>
      <w:rFonts w:ascii="Times New Roman" w:cs="Times New Roman" w:eastAsia="Times New Roman" w:hAnsi="Times New Roman"/>
      <w:b w:val="1"/>
      <w:sz w:val="28"/>
      <w:szCs w:val="20"/>
      <w:lang w:eastAsia="ru-RU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LlxidWwWcbCyhEr1zpGbMmjszA==">CgMxLjAyCGguZ2pkZ3hzMg5oLnQ5NzEyaGxqNWFnZDgAciExYmgxNy15Mm9DOUR6NmJZQ0liNVpIcFhRREd2R3huRVU=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2025-01-30T07:19:00Z</dcterms:created>
  <dc:creator>PC-2</dc:creator>
</cp:coreProperties>
</file>