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«ПЕДАГОГІКА ЗДОРОВ’Я»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  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    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та соціальне 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        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доцент кафедри загальної і медичної психології Національного медичного університету імені О.О. 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Гладун Т.С.</w:t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загальної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46355</wp:posOffset>
            </wp:positionV>
            <wp:extent cx="1619250" cy="76962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 медичної психології,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                                                                                              М.М. Матяш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 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Предмет, історія виникнення та становлення педагогіки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формувати у студентів уявлення про предмет, структуру, історію становлення дисципліни  педагогіка здоров’я, її значення для збереження та зміцнення здоров’я учасників освітнього процесу, формування моделей безпечної поведінки здорового способу життя.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Призначення та специфіка дисципліни.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Обумовленість змісту педагогіки здоров’я цілями підготовки.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Поняття про здоров’я, хвороби, профілактику, лікування, реабілітацію, здоровий спосіб життя.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збереження здоров’я,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профілактика, безпечна поведінка, хвороба, психічні хвороби, соматичні хвороби, реабілітація.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Здоров’язбереження  та основні напрями його реалізації.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навчити студентів  визначити  відповідність власного способу життя медичним уявленням про здоровий спосіб життя. Ознайомити з  сучасними медичними уявленнями про вплив на здоров’я спадкових, екологічних та інших факторів оточуючого середовища, розвитку медицини та способу життя.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1.Особисте, колективне та громадське здоров’я.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Хвороби цивілізації.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Тривалість та якість життя.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Ризики для здоров’я  від вживання психоактивних речовин, що викликають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залежність.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спосіб життя, екологічні фактори, зміцнення здоров’я, гомеостаз, «норма біологічної реакції», медицина мирного та військового часу,карантин, соматичне здоров’я, психічне здоров’я.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Фізична культура, спорт, режим праці та відпочинку студентів. Безпечне використання медикаментів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 надати  студентам  базову інформацію про фізичну активність людини як обов’язкову складову здорового способу життя, визначити межі  недостатньої та надмірної фізичної активності, важливість режиму праці і відпочинку, значення сну для здоров’я.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Довести до  студентів  значення фармації для відновлення здоров’я людства на прикладах знеболюючих препаратів та антибіотиків, висвітлити позитивні і негативні традиції обігу ліків, правила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укомплектування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домашньої аптечки, ризики самолікування.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 Фізична активність, гіподинамія, перевантаження.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Режим праці та відпочинку. Перерви у роботі, відпустки, сон.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Значення фармації для відновлення здоров’я людства.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обігу ліків України та інших країн світу.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Укомплектування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домашньої аптечки. 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6. Фальсифікація ліків та використання ліків з недоведеною клінічною 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ефективністю.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Перенавантаження, фізична активність, режим сну, здоровий спосіб життя, відпустка, фармація, самолікування.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Педагогіка здоров’я як основа розвитку потенціалу особистості/ В.А. Гладуш, Н.В. Зимівець, З.П. Бондаренко, Л. М. Ніколенко та ін. Дніпро: Ліра, 2020, 384 с.</w:t>
      </w:r>
    </w:p>
    <w:p w:rsidR="00000000" w:rsidDel="00000000" w:rsidP="00000000" w:rsidRDefault="00000000" w:rsidRPr="00000000" w14:paraId="00000043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Штефан Л. В.  Здоров’язберігаючі технології у сучасній освіті /Л. В. Штефан // Когнітивні та емоційно-поведінкові фактори повноцінного функціонування людини: культурно-історичний підхід: матеріали ІІ Міжнародної науково-практичної конференції, (Харків, 23  -  24  жовтня 2015 року).  –  Х.:Вид-во  «Діса плюс», 2015. – С.148–149.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Педагогіка здоров’я : збірник наукових праць VІІІ Всеукраїнської науково практичної конференції / за загальною редакцією акад. І. Ф. Прокопенка. Харків : ХНПУ ім. Г. С. Сковороди, 2018. 804 с.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Педагогіка здоров’я : збірник наукових праць VІІ Всеукраїнської науково–практичної конференції (м. Чернігів, 7–8 квітня 2017 р.) : [в 2 т.] / ред. колегія : С. М. Шкарлет [та ін.]. – Чернігів, 2017. – Т. 1. – 595 с.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536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">
    <w:name w:val="Body Text Indent 2"/>
    <w:basedOn w:val="a"/>
    <w:link w:val="20"/>
    <w:uiPriority w:val="99"/>
    <w:semiHidden w:val="1"/>
    <w:unhideWhenUsed w:val="1"/>
    <w:rsid w:val="00032278"/>
    <w:pPr>
      <w:spacing w:after="120" w:line="480" w:lineRule="auto"/>
      <w:ind w:left="283"/>
    </w:pPr>
  </w:style>
  <w:style w:type="character" w:styleId="20" w:customStyle="1">
    <w:name w:val="Основной текст с отступом 2 Знак"/>
    <w:basedOn w:val="a0"/>
    <w:link w:val="2"/>
    <w:uiPriority w:val="99"/>
    <w:semiHidden w:val="1"/>
    <w:rsid w:val="0003227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GMk+GkCRPsKOjgkeMeFEbT6Bg==">CgMxLjAyCGguZ2pkZ3hzOAByITFCRTJNanF4dG1MejhXVTF5bzBqd0JDMHBNNTRBcVUwUQ==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