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«КРИТИЧНЕ МИСЛЕННЯ В ПРОФЕСІЙНІЙ ДІЯЛЬНОСТІ ЛІКАРЯ-ПСИХОЛОГА»</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w:t>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психологічних наук, професор  Філоненко М.М., </w:t>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C">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2851023</wp:posOffset>
            </wp:positionH>
            <wp:positionV relativeFrom="margin">
              <wp:posOffset>8401608</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1"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rPr>
          <w:rFonts w:ascii="Times New Roman" w:cs="Times New Roman" w:eastAsia="Times New Roman" w:hAnsi="Times New Roman"/>
          <w:color w:val="000000"/>
          <w:sz w:val="28"/>
          <w:szCs w:val="28"/>
          <w:rtl w:val="0"/>
        </w:rPr>
        <w:t xml:space="preserve">професор                                                                                      М.М. Матяш </w:t>
      </w:r>
    </w:p>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Теоретичні засади критичного мислення. </w:t>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теоретичними засадами критичного мислення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Критичне мислення: історія й сучасність.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Творче, логічне, ірраціональне мислення. Типи інтелекту.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Принципи формування критичного мислення. Ключові навички критичного мислення. Увага, сприйняття, пам’ять та їхня роль у когнітивних процесах.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критичне мислення, інтелект.</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Стратегії критичного мислення</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w:t>
      </w:r>
      <w:r w:rsidDel="00000000" w:rsidR="00000000" w:rsidRPr="00000000">
        <w:rPr>
          <w:rFonts w:ascii="Times New Roman" w:cs="Times New Roman" w:eastAsia="Times New Roman" w:hAnsi="Times New Roman"/>
          <w:b w:val="1"/>
          <w:color w:val="000000"/>
          <w:sz w:val="24"/>
          <w:szCs w:val="24"/>
          <w:rtl w:val="0"/>
        </w:rPr>
        <w:t xml:space="preserve">стратегіями критичного мислення</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Взаємозв’язок мети й стратегії. Основні стратегії розвитку критичного мислення: виклик, рефлексія, обговорення.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Візуалізація та підбір асоціацій як каталізатори ідей.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Навички об’єктивного аналізу.  </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критичне мислення, аналіз.</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Способи впливу на цільову аудиторію.  </w:t>
      </w:r>
    </w:p>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способами впливу на цільову аудиторію. </w:t>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«цільової аудиторії».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 і засоби впливу на цільову аудиторію. Маркетингові формули AIDA, DIBABA, DAGMAR. Методи дослідження потреб цільової аудиторії.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Адаптація принципів впливу до обраної професійної діяльності.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критичне мислення, цільова аудиторія.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Критичне мислення у повсякденному житті.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можливістю застосовувати критичне мислення в повсякденному житті</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Принципи використання критичного мислення у повсякденності: аналіз проблемних ситуацій, пошук. Правило Міллера. Ефект краю. Метод римської кімнати (ланцюжок Цицерона) під час виступу. </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Мистецтво прийняття рішень. Моделювання проблемних ситуацій. Техніки командної та індивідуальної генерації ідей. Відмінність індивідуальної та командної роботи. </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Креативність та її межі. Техніка «квітка лотоса». Морфологічний аналіз. Метод фокальних об’єктів. SCAMPER. Метод «персони».  </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критичне мислення,  методи, креативність.</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Недоліки ірраціонального мислення у професійній діяльності</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недоліками ірраціонального мислення у професійній діяльності</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Перешкоди на шляху до критичного мислення. Ірраціоналізм, його ознаки та особливості.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та типологія ірраціональних думок. Причини появи і стійкості ірраціонального мислення. Для чого боротися з ірраціональністю та як це робити.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Виявлення ірраціональних думок та протидія їхньому впливу як спосіб турботи про психологічне здоров’я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критичне мислення, ірраціональні думки.</w:t>
      </w:r>
    </w:p>
    <w:p w:rsidR="00000000" w:rsidDel="00000000" w:rsidP="00000000" w:rsidRDefault="00000000" w:rsidRPr="00000000" w14:paraId="00000059">
      <w:pPr>
        <w:spacing w:after="0" w:line="240" w:lineRule="auto"/>
        <w:ind w:left="1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240" w:lineRule="auto"/>
        <w:ind w:left="1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05B">
      <w:pPr>
        <w:spacing w:after="0" w:line="240" w:lineRule="auto"/>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Гуменюк Л. Й. Соціальна конфліктологія: підручник / Л. Й. Гуменюк // Львів. держ. ун-т внутр. справ. – Львів, 2015. – 563 c. 2. 3. Евдокимов В.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Критичне мислення: Підручник для студентів навчальних закладів вищої освіти усіх спеціальностей / А. Є. Конверський. – Київ : Центр учб. літ., 2020. – 344 с. 4. </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Тягло О.В. Критичне мислення: Навчальний посібник. – Харків : Основа, 2008. </w:t>
      </w:r>
    </w:p>
    <w:p w:rsidR="00000000" w:rsidDel="00000000" w:rsidP="00000000" w:rsidRDefault="00000000" w:rsidRPr="00000000" w14:paraId="0000005F">
      <w:pPr>
        <w:tabs>
          <w:tab w:val="left" w:leader="none" w:pos="426"/>
        </w:tabs>
        <w:spacing w:after="0" w:line="240" w:lineRule="auto"/>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Council recommendation of 22 May 2017 on the European Qualification Framework for lifelong learning and repealing the recommendation of the European Parliament and of the Council of 23 April 2008 on the establishment of the European Qualifications Framework for lifelong learning [Electronic resource]. // Official Journal of the European Union. – 2017. Т. 60. – P. 15–28. – Mode of access: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https://eur-lex.europa.eu/legal-content/EN/TXT/PDF/?uri=CELEX:32017H0615(01)&amp;from=EN</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Національна рамка кваліфікацій : Додаток до Постанови від 23.11.2011 р. № 1341, в ред. від 12.06.2019 р. № 509 / Кабінет Міністрів України [Електронний ресурс]. – Режим доступу : https://zakon.rada.gov.ua/laws/show/1341-2011-%D0%BF#Text (дата звернення : 25.06.2020). </w:t>
      </w:r>
    </w:p>
    <w:p w:rsidR="00000000" w:rsidDel="00000000" w:rsidP="00000000" w:rsidRDefault="00000000" w:rsidRPr="00000000" w14:paraId="00000062">
      <w:pPr>
        <w:shd w:fill="ffffff" w:val="clear"/>
        <w:tabs>
          <w:tab w:val="left" w:leader="none" w:pos="36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4" w:hanging="359.99999999999994"/>
      </w:pPr>
      <w:rPr>
        <w:b w:val="0"/>
      </w:rPr>
    </w:lvl>
    <w:lvl w:ilvl="1">
      <w:start w:val="1"/>
      <w:numFmt w:val="lowerLetter"/>
      <w:lvlText w:val="%2."/>
      <w:lvlJc w:val="left"/>
      <w:pPr>
        <w:ind w:left="1444" w:hanging="360"/>
      </w:pPr>
      <w:rPr/>
    </w:lvl>
    <w:lvl w:ilvl="2">
      <w:start w:val="1"/>
      <w:numFmt w:val="lowerRoman"/>
      <w:lvlText w:val="%3."/>
      <w:lvlJc w:val="right"/>
      <w:pPr>
        <w:ind w:left="2164" w:hanging="180"/>
      </w:pPr>
      <w:rPr/>
    </w:lvl>
    <w:lvl w:ilvl="3">
      <w:start w:val="1"/>
      <w:numFmt w:val="decimal"/>
      <w:lvlText w:val="%4."/>
      <w:lvlJc w:val="left"/>
      <w:pPr>
        <w:ind w:left="2884" w:hanging="360"/>
      </w:pPr>
      <w:rPr/>
    </w:lvl>
    <w:lvl w:ilvl="4">
      <w:start w:val="1"/>
      <w:numFmt w:val="lowerLetter"/>
      <w:lvlText w:val="%5."/>
      <w:lvlJc w:val="left"/>
      <w:pPr>
        <w:ind w:left="3604" w:hanging="360"/>
      </w:pPr>
      <w:rPr/>
    </w:lvl>
    <w:lvl w:ilvl="5">
      <w:start w:val="1"/>
      <w:numFmt w:val="lowerRoman"/>
      <w:lvlText w:val="%6."/>
      <w:lvlJc w:val="right"/>
      <w:pPr>
        <w:ind w:left="4324" w:hanging="180"/>
      </w:pPr>
      <w:rPr/>
    </w:lvl>
    <w:lvl w:ilvl="6">
      <w:start w:val="1"/>
      <w:numFmt w:val="decimal"/>
      <w:lvlText w:val="%7."/>
      <w:lvlJc w:val="left"/>
      <w:pPr>
        <w:ind w:left="5044" w:hanging="360"/>
      </w:pPr>
      <w:rPr/>
    </w:lvl>
    <w:lvl w:ilvl="7">
      <w:start w:val="1"/>
      <w:numFmt w:val="lowerLetter"/>
      <w:lvlText w:val="%8."/>
      <w:lvlJc w:val="left"/>
      <w:pPr>
        <w:ind w:left="5764" w:hanging="360"/>
      </w:pPr>
      <w:rPr/>
    </w:lvl>
    <w:lvl w:ilvl="8">
      <w:start w:val="1"/>
      <w:numFmt w:val="lowerRoman"/>
      <w:lvlText w:val="%9."/>
      <w:lvlJc w:val="right"/>
      <w:pPr>
        <w:ind w:left="6484" w:hanging="180"/>
      </w:pPr>
      <w:rPr/>
    </w:lvl>
  </w:abstractNum>
  <w:abstractNum w:abstractNumId="4">
    <w:lvl w:ilvl="0">
      <w:start w:val="1"/>
      <w:numFmt w:val="decimal"/>
      <w:lvlText w:val="%1."/>
      <w:lvlJc w:val="left"/>
      <w:pPr>
        <w:ind w:left="724" w:hanging="359.99999999999994"/>
      </w:pPr>
      <w:rPr/>
    </w:lvl>
    <w:lvl w:ilvl="1">
      <w:start w:val="1"/>
      <w:numFmt w:val="lowerLetter"/>
      <w:lvlText w:val="%2."/>
      <w:lvlJc w:val="left"/>
      <w:pPr>
        <w:ind w:left="1444" w:hanging="360"/>
      </w:pPr>
      <w:rPr/>
    </w:lvl>
    <w:lvl w:ilvl="2">
      <w:start w:val="1"/>
      <w:numFmt w:val="lowerRoman"/>
      <w:lvlText w:val="%3."/>
      <w:lvlJc w:val="right"/>
      <w:pPr>
        <w:ind w:left="2164" w:hanging="180"/>
      </w:pPr>
      <w:rPr/>
    </w:lvl>
    <w:lvl w:ilvl="3">
      <w:start w:val="1"/>
      <w:numFmt w:val="decimal"/>
      <w:lvlText w:val="%4."/>
      <w:lvlJc w:val="left"/>
      <w:pPr>
        <w:ind w:left="2884" w:hanging="360"/>
      </w:pPr>
      <w:rPr/>
    </w:lvl>
    <w:lvl w:ilvl="4">
      <w:start w:val="1"/>
      <w:numFmt w:val="lowerLetter"/>
      <w:lvlText w:val="%5."/>
      <w:lvlJc w:val="left"/>
      <w:pPr>
        <w:ind w:left="3604" w:hanging="360"/>
      </w:pPr>
      <w:rPr/>
    </w:lvl>
    <w:lvl w:ilvl="5">
      <w:start w:val="1"/>
      <w:numFmt w:val="lowerRoman"/>
      <w:lvlText w:val="%6."/>
      <w:lvlJc w:val="right"/>
      <w:pPr>
        <w:ind w:left="4324" w:hanging="180"/>
      </w:pPr>
      <w:rPr/>
    </w:lvl>
    <w:lvl w:ilvl="6">
      <w:start w:val="1"/>
      <w:numFmt w:val="decimal"/>
      <w:lvlText w:val="%7."/>
      <w:lvlJc w:val="left"/>
      <w:pPr>
        <w:ind w:left="5044" w:hanging="360"/>
      </w:pPr>
      <w:rPr/>
    </w:lvl>
    <w:lvl w:ilvl="7">
      <w:start w:val="1"/>
      <w:numFmt w:val="lowerLetter"/>
      <w:lvlText w:val="%8."/>
      <w:lvlJc w:val="left"/>
      <w:pPr>
        <w:ind w:left="5764" w:hanging="360"/>
      </w:pPr>
      <w:rPr/>
    </w:lvl>
    <w:lvl w:ilvl="8">
      <w:start w:val="1"/>
      <w:numFmt w:val="lowerRoman"/>
      <w:lvlText w:val="%9."/>
      <w:lvlJc w:val="right"/>
      <w:pPr>
        <w:ind w:left="6484"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paragraph" w:styleId="a5">
    <w:name w:val="List Paragraph"/>
    <w:basedOn w:val="a"/>
    <w:uiPriority w:val="34"/>
    <w:qFormat w:val="1"/>
    <w:rsid w:val="006D6E79"/>
    <w:pPr>
      <w:ind w:left="720"/>
      <w:contextualSpacing w:val="1"/>
    </w:pPr>
  </w:style>
  <w:style w:type="paragraph" w:styleId="TableParagraph" w:customStyle="1">
    <w:name w:val="Table Paragraph"/>
    <w:basedOn w:val="a"/>
    <w:uiPriority w:val="1"/>
    <w:qFormat w:val="1"/>
    <w:rsid w:val="008D4E28"/>
    <w:pPr>
      <w:widowControl w:val="0"/>
      <w:autoSpaceDE w:val="0"/>
      <w:autoSpaceDN w:val="0"/>
      <w:spacing w:after="0" w:line="240" w:lineRule="auto"/>
    </w:pPr>
    <w:rPr>
      <w:rFonts w:ascii="Times New Roman" w:cs="Times New Roman" w:eastAsia="Times New Roman" w:hAnsi="Times New Roman"/>
      <w:lang w:eastAsia="en-US"/>
    </w:rPr>
  </w:style>
  <w:style w:type="character" w:styleId="a6">
    <w:name w:val="Hyperlink"/>
    <w:uiPriority w:val="99"/>
    <w:unhideWhenUsed w:val="1"/>
    <w:rsid w:val="00675A09"/>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ur-lex.europa.eu/legal-content/EN/TXT/PDF/?uri=CELEX:32017H0615(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NRhslmFCMIdVFVFdDGvuOZTg==">CgMxLjA4AHIhMVI5Qjc1MFRqOWFyZkxkRzNUdGVzbW9xTnNDajFJWTlx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2025-01-23T09:57:00Z</dcterms:created>
  <dc:creator>щастя</dc:creator>
</cp:coreProperties>
</file>