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НАЦІОНАЛЬНИЙ МЕДИЧНИЙ УНІВЕРСИТЕТ ІМЕНІ О.О.БОГОМОЛЬЦЯ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«Психологія спілкування з дитиною на прийомі»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22 «Охорона здоров’я та соціальне 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«Педіатрія»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Автор: канд.психол.наук, доцент Тертична Н.А.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 від «28» серпня 2025 року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2809875</wp:posOffset>
            </wp:positionH>
            <wp:positionV relativeFrom="paragraph">
              <wp:posOffset>142875</wp:posOffset>
            </wp:positionV>
            <wp:extent cx="1528835" cy="76962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835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Лекція №1. Психологія дитинства як наука про особливості психічного розвитку дитини. Вікові кризи.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сформувати розуміння про предмет, завдання та базові категорії вікової психології; критерії та принципи вікової періодизації життєвого шляху особистості.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лекції: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Предмет, завдання вікової психології. Базові категорії вікової психології.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Проблема методу у віковій та педагогічній психології. Стратегії дослідження психічного розвитку людини.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Фактори, закономірності та принципи психічного розвитку. Основні підходи та критерії періодизації.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Діяльність як основа, засіб й умова психічного розвитку. Загальна характеристика вікові кризи. Соціальна ситуація розвитку. Поняття про вікові новоутворення. Теорії психічного розвитку.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Криза новонародженості та основні характеристики періоду новонародженості. Головні новоутворення періоду новонародженості.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Психосоціальний розвиток у немовлячому періоді. Емоційний та когнітивний розвиток.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Емоційне спілкування з дорослими. Поняття “госпіталізм”.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Криза одного року та її основні характеристики.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вікова психологія, стратегія дослідження, психічний розвиток, ріст, дозрівання, закономірності розвитку, вікова періодизація, психологічний вік, вікова криза, провідна діяльність, соціальна ситуація розвитку, вікові новоутворення, період новонародженості, госпіталізм, комплекс пожвавлення.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Лекція №2-3.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Особливості спілкування з дитиною у немовлячому та ранньому дитинстві. Спілкування з дошкільником та його батьками на прийомі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4 години)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засвоєння головних характеристик фізичного, когнітивного та емоційного розвитку дитини в ранньому та дошкільному дитинстві, обґрунтувати особливості діяльності та соціальних зв’язків у цьому віці.</w:t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лекції: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Психосоціальний розвиток у ранньому дитинстві. Провідна діяльність в ранньому дитинстві та етапи її формування.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Основні новоутворення раннього дитинства.  Етапи розвитку мовлення.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Суперечності розвитку, криза 3-х років. 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Зміна соціальної ситуації розвитку. Сімейне середовище, стилі взаємодії „батьки-діти”, дисципліна й саморегуляція. Розвиток соціальних навичок, агресія та просоціальна поведінка.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Провідна діяльність в дошкільному віці. Сюжетно-рольова гра: структура та розвиток. Етапи становлення дитячого малюнку. Особливості сприймання казки в дошкільному віці. Формування навичок елементарної трудової діяльності.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Психологічні новоутворення дошкільного віку.  Криза 7 років: основні характеристики. 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раннє дитинство, дошкільний вік, автономне мовлення, пасивне мовлення, активне мовлення,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суперечності розвитку, соціальні навички, просоціальна поведінка, сюжетно-рольова гра, комплекс «Я сам».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Лекція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4-5.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Психологічні аспекти спілкування на прийомі з дитиною молодшого шкільного віку. Особливості спілкування з підлітком на прийомі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4 години)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засвоєння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головних характеристик фізичного, когнітивного та емоційного розвитку особистості </w:t>
      </w:r>
      <w:r w:rsidDel="00000000" w:rsidR="00000000" w:rsidRPr="00000000">
        <w:rPr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молодшому шкільному  та підлітковому віці,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обґрунтування особливості діяльності та соціальних зв’язків у цьому віці.</w:t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лекції: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Характеристика основних показників готовності дитини до школи. Причини дезадаптації до шкільного навчання. Психологічні особливості дітей деяких категорій дезадаптованості.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Соціальна ситуація розвитку в молодшому шкільному віці. Учбова діяльність як провідна діяльність молодшого школяра: структура та умови формування.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Розвиток пізнавальної сфери особистості. Особливості Я-концепції молодшого школяра. Фактори формування самооцінки в молодшому шкільному віці.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Основні новоутворення в молодшому шкільному віці. Розвиток емоційно-вольової сфери та особистості молодшого школяра. Тривожність і страхи в молодшому шкільному віці.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Фізичний розвиток у підлітковому віці, статеве дозрівання, зміни у зовнішності, поведінці й самоставленні. Статева ідентичність і сексуальна поведінка.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Соціальна ситуація розвитку. Особистісний розвиток у підлітковому віці, світоглядне і ціннісне самовизначення.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Провідна діяльність в підлітковому середовищі. Основні новоутворення. Почуття дорослості.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Поведінкові девіації, причини та шляхи запобігання. Причини підліткової агресії. Характеристика акцентуацій характеру в підлітковому віці та методики їх вивчення.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Основні проблеми учбової діяльності підлітка. “Вакуум мотивів”: причини і шляхи подолання. Криза підліткового віку.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Зміна соціальної ситуації розвитку в юнацькому віці. Психологічні проблеми провідної діяльності.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Самопізнання та визначення стратегії життєвого шляху в юнацькому віці. Готовність і здатність до різноманітних форм навчання. Інтелектуальна активність.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Основні психологічні новоутворення в юнацькому віці. Розвиток емоцій в юнацькому віці. Емоційні особливості юнацької дружби та кохання.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Інтенсивний пошук свого ”Я”, усвідомлення свого професійного покликання.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готовність дитини до школи, дезадаптація, Я-концепції, пізнавальна сфера, статева ідентичність, сексуальна поведінка, світоглядне і ціннісне самовизначення, почуття дорослості, акцентуації характеру, вакуум мотивів, поведінкові девіації, стратегії життєвого шляху, професійне покликання.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283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РЕКОМЕНДОВАНА ЛІТЕРАТУРА </w:t>
      </w:r>
    </w:p>
    <w:p w:rsidR="00000000" w:rsidDel="00000000" w:rsidP="00000000" w:rsidRDefault="00000000" w:rsidRPr="00000000" w14:paraId="00000053">
      <w:pPr>
        <w:spacing w:after="160" w:line="240" w:lineRule="auto"/>
        <w:ind w:left="16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Тертична Н.А. Вікова психологія: навч. посібник / автор Н.А.Тертична – К.: Книга-плюс, 2018. –  385 с.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928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Курова А.В. Психологія спілкування: навчально-методичний посібник для здобувачів вищої освіти факультету психології, політології та соціології НУ «ОЮА») / А.В. Курова – Одеса: Фенікс, 2020. – 79 с.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240" w:lineRule="auto"/>
        <w:ind w:left="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Зливков В.Л., Лукомська С.О. Психологія спілкування педагога: інтегративний підхід [навчальний посібник; 2 видання: розширене та доповнене] / В.Л.Зливков, С.О. Лукомська. – К., Ніжин: Видавець ПП Лисенко М.М., 2018. – 353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hd w:fill="ffffff" w:val="clear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Чуб Н. Куди подівся мій тато? Виховуємо щасливих дітей у родині без батька. К.: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Віват, 2015. – 272 с. 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hd w:fill="ffffff" w:val="clear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Чуб Н. 100 батьківських «чому?». Відповіді досвідченого психолога. К.: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Віват, 2015. – 368с.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hd w:fill="ffffff" w:val="clear"/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Шрагіна Л. 15 табу для матусь і татусів. Л.: Видавництво Старого Лева, 2016. – 144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Наталка Біда, Антоніна Оксанич, Олександра Сидорченко. Спілкування з дитиною в малюнках. – Київ: ГО «Батьківська спілка», 2019. – 138 с.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Горбунова Вікторія. Виховання без травмування або Навіщо дітям дорослі? – Харків: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КСД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2016. – 320 с.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Анна Гресь. Зрозумій мене! Секрети розшифрування дитячої поведінки. – Харків: Основа, 2019. – 96 с.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Анна Гресь. Як пригорнути кактус? Книга для батьків, які хочуть зрозуміти своїх підлітків. – Харків: Основа, 2017. – 208 с.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Франсуаза Дольто. Боротьба за дитину. Як уникнути стереотипів і штампів виховання. – Харків: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КСД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2018. – 672 с.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Елізабет Кілбі. Розблоковане батьківство. Як виростити здорових і щасливих дітей в епоху інформаційних технологій. – Київ: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КМ-Букс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2018. – 248 с.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Даніеле Новара. Покарання марні. Як виховувати, не попадаючи в пастку емоцій. – Київ: Сварог, 2020. – 276 с.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Кетрін Перлман. Ігноруйте! Щасливе виховання без надмірного контролю. – Київ: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Книголав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2018. – 240 с.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Людмила Петрановська. Таємна опора. Емоційний зв’язок у житті дитини. – Харків: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Віват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2018. – 224 с.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Людмила Петрановська. Якщо з дитиною складно. – Харків: 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Віват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2020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28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Світлана Ройз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 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Практичне дитинознавство. Продовжуємо розмову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– Київ: Ніка-Центр, 2021. – 384 с.</w:t>
      </w:r>
    </w:p>
    <w:p w:rsidR="00000000" w:rsidDel="00000000" w:rsidP="00000000" w:rsidRDefault="00000000" w:rsidRPr="00000000" w14:paraId="00000067">
      <w:pPr>
        <w:ind w:left="3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560" w:hanging="360"/>
      </w:pPr>
      <w:rPr/>
    </w:lvl>
    <w:lvl w:ilvl="1">
      <w:start w:val="1"/>
      <w:numFmt w:val="lowerLetter"/>
      <w:lvlText w:val="%2."/>
      <w:lvlJc w:val="left"/>
      <w:pPr>
        <w:ind w:left="2280" w:hanging="360"/>
      </w:pPr>
      <w:rPr/>
    </w:lvl>
    <w:lvl w:ilvl="2">
      <w:start w:val="1"/>
      <w:numFmt w:val="lowerRoman"/>
      <w:lvlText w:val="%3."/>
      <w:lvlJc w:val="right"/>
      <w:pPr>
        <w:ind w:left="3000" w:hanging="180"/>
      </w:pPr>
      <w:rPr/>
    </w:lvl>
    <w:lvl w:ilvl="3">
      <w:start w:val="1"/>
      <w:numFmt w:val="decimal"/>
      <w:lvlText w:val="%4."/>
      <w:lvlJc w:val="left"/>
      <w:pPr>
        <w:ind w:left="3720" w:hanging="360"/>
      </w:pPr>
      <w:rPr/>
    </w:lvl>
    <w:lvl w:ilvl="4">
      <w:start w:val="1"/>
      <w:numFmt w:val="lowerLetter"/>
      <w:lvlText w:val="%5."/>
      <w:lvlJc w:val="left"/>
      <w:pPr>
        <w:ind w:left="4440" w:hanging="360"/>
      </w:pPr>
      <w:rPr/>
    </w:lvl>
    <w:lvl w:ilvl="5">
      <w:start w:val="1"/>
      <w:numFmt w:val="lowerRoman"/>
      <w:lvlText w:val="%6."/>
      <w:lvlJc w:val="right"/>
      <w:pPr>
        <w:ind w:left="5160" w:hanging="180"/>
      </w:pPr>
      <w:rPr/>
    </w:lvl>
    <w:lvl w:ilvl="6">
      <w:start w:val="1"/>
      <w:numFmt w:val="decimal"/>
      <w:lvlText w:val="%7."/>
      <w:lvlJc w:val="left"/>
      <w:pPr>
        <w:ind w:left="5880" w:hanging="360"/>
      </w:pPr>
      <w:rPr/>
    </w:lvl>
    <w:lvl w:ilvl="7">
      <w:start w:val="1"/>
      <w:numFmt w:val="lowerLetter"/>
      <w:lvlText w:val="%8."/>
      <w:lvlJc w:val="left"/>
      <w:pPr>
        <w:ind w:left="6600" w:hanging="360"/>
      </w:pPr>
      <w:rPr/>
    </w:lvl>
    <w:lvl w:ilvl="8">
      <w:start w:val="1"/>
      <w:numFmt w:val="lowerRoman"/>
      <w:lvlText w:val="%9."/>
      <w:lvlJc w:val="right"/>
      <w:pPr>
        <w:ind w:left="73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102E4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Normal (Web)"/>
    <w:basedOn w:val="a"/>
    <w:uiPriority w:val="99"/>
    <w:semiHidden w:val="1"/>
    <w:unhideWhenUsed w:val="1"/>
    <w:rsid w:val="00C102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rsid w:val="00B4539F"/>
    <w:pPr>
      <w:spacing w:after="0" w:line="360" w:lineRule="auto"/>
      <w:jc w:val="both"/>
    </w:pPr>
    <w:rPr>
      <w:rFonts w:ascii="Times New Roman" w:cs="Times New Roman" w:eastAsia="Times New Roman" w:hAnsi="Times New Roman"/>
      <w:noProof w:val="1"/>
      <w:sz w:val="28"/>
      <w:szCs w:val="28"/>
      <w:lang w:eastAsia="ru-RU"/>
    </w:rPr>
  </w:style>
  <w:style w:type="character" w:styleId="a6" w:customStyle="1">
    <w:name w:val="Основной текст Знак"/>
    <w:basedOn w:val="a0"/>
    <w:link w:val="a5"/>
    <w:rsid w:val="00B4539F"/>
    <w:rPr>
      <w:rFonts w:ascii="Times New Roman" w:cs="Times New Roman" w:eastAsia="Times New Roman" w:hAnsi="Times New Roman"/>
      <w:noProof w:val="1"/>
      <w:sz w:val="28"/>
      <w:szCs w:val="28"/>
      <w:lang w:eastAsia="ru-RU"/>
    </w:rPr>
  </w:style>
  <w:style w:type="paragraph" w:styleId="a7">
    <w:name w:val="List Paragraph"/>
    <w:basedOn w:val="a"/>
    <w:uiPriority w:val="34"/>
    <w:qFormat w:val="1"/>
    <w:rsid w:val="00B4539F"/>
    <w:pPr>
      <w:ind w:left="720"/>
      <w:contextualSpacing w:val="1"/>
    </w:pPr>
    <w:rPr>
      <w:rFonts w:eastAsiaTheme="minorEastAsia"/>
      <w:lang w:eastAsia="ru-RU"/>
    </w:rPr>
  </w:style>
  <w:style w:type="paragraph" w:styleId="20">
    <w:name w:val="Body Text Indent 2"/>
    <w:basedOn w:val="a"/>
    <w:link w:val="21"/>
    <w:uiPriority w:val="99"/>
    <w:semiHidden w:val="1"/>
    <w:unhideWhenUsed w:val="1"/>
    <w:rsid w:val="00B4539F"/>
    <w:pPr>
      <w:spacing w:after="120" w:line="480" w:lineRule="auto"/>
      <w:ind w:left="283"/>
    </w:pPr>
    <w:rPr>
      <w:rFonts w:eastAsiaTheme="minorEastAsia"/>
      <w:lang w:eastAsia="ru-RU"/>
    </w:rPr>
  </w:style>
  <w:style w:type="character" w:styleId="21" w:customStyle="1">
    <w:name w:val="Основной текст с отступом 2 Знак"/>
    <w:basedOn w:val="a0"/>
    <w:link w:val="20"/>
    <w:uiPriority w:val="99"/>
    <w:semiHidden w:val="1"/>
    <w:rsid w:val="00B4539F"/>
    <w:rPr>
      <w:rFonts w:eastAsiaTheme="minorEastAsia"/>
      <w:lang w:eastAsia="ru-RU" w:val="ru-RU"/>
    </w:rPr>
  </w:style>
  <w:style w:type="paragraph" w:styleId="a8">
    <w:name w:val="Balloon Text"/>
    <w:basedOn w:val="a"/>
    <w:link w:val="a9"/>
    <w:uiPriority w:val="99"/>
    <w:semiHidden w:val="1"/>
    <w:unhideWhenUsed w:val="1"/>
    <w:rsid w:val="00BE78BD"/>
    <w:pPr>
      <w:spacing w:after="0" w:line="240" w:lineRule="auto"/>
    </w:pPr>
    <w:rPr>
      <w:rFonts w:ascii="Tahoma" w:cs="Tahoma" w:hAnsi="Tahoma" w:eastAsiaTheme="minorEastAsia"/>
      <w:sz w:val="16"/>
      <w:szCs w:val="16"/>
      <w:lang w:eastAsia="ru-RU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BE78BD"/>
    <w:rPr>
      <w:rFonts w:ascii="Tahoma" w:cs="Tahoma" w:hAnsi="Tahoma" w:eastAsiaTheme="minorEastAsia"/>
      <w:sz w:val="16"/>
      <w:szCs w:val="16"/>
      <w:lang w:eastAsia="ru-RU" w:val="ru-RU"/>
    </w:rPr>
  </w:style>
  <w:style w:type="character" w:styleId="aa">
    <w:name w:val="Emphasis"/>
    <w:basedOn w:val="a0"/>
    <w:uiPriority w:val="20"/>
    <w:qFormat w:val="1"/>
    <w:rsid w:val="00D203B6"/>
    <w:rPr>
      <w:i w:val="1"/>
      <w:iCs w:val="1"/>
    </w:rPr>
  </w:style>
  <w:style w:type="character" w:styleId="ab">
    <w:name w:val="Hyperlink"/>
    <w:rsid w:val="00D203B6"/>
    <w:rPr>
      <w:color w:val="000080"/>
      <w:u w:val="single"/>
    </w:rPr>
  </w:style>
  <w:style w:type="character" w:styleId="ac">
    <w:name w:val="Strong"/>
    <w:basedOn w:val="a0"/>
    <w:uiPriority w:val="22"/>
    <w:qFormat w:val="1"/>
    <w:rsid w:val="00D203B6"/>
    <w:rPr>
      <w:b w:val="1"/>
      <w:bCs w:val="1"/>
    </w:rPr>
  </w:style>
  <w:style w:type="character" w:styleId="citation" w:customStyle="1">
    <w:name w:val="citation"/>
    <w:basedOn w:val="a0"/>
    <w:rsid w:val="00D203B6"/>
  </w:style>
  <w:style w:type="character" w:styleId="detail-tabs-i-title-inner" w:customStyle="1">
    <w:name w:val="detail-tabs-i-title-inner"/>
    <w:basedOn w:val="a0"/>
    <w:rsid w:val="00D203B6"/>
  </w:style>
  <w:style w:type="character" w:styleId="chars-value-inner" w:customStyle="1">
    <w:name w:val="chars-value-inner"/>
    <w:basedOn w:val="a0"/>
    <w:rsid w:val="00D203B6"/>
  </w:style>
  <w:style w:type="character" w:styleId="A50" w:customStyle="1">
    <w:name w:val="A5"/>
    <w:uiPriority w:val="99"/>
    <w:rsid w:val="00032972"/>
    <w:rPr>
      <w:rFonts w:cs="Minion Pro"/>
      <w:color w:val="000000"/>
      <w:sz w:val="18"/>
      <w:szCs w:val="18"/>
    </w:rPr>
  </w:style>
  <w:style w:type="paragraph" w:styleId="ad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barabooka.com.ua/knigolav/" TargetMode="External"/><Relationship Id="rId10" Type="http://schemas.openxmlformats.org/officeDocument/2006/relationships/hyperlink" Target="http://www.barabooka.com.ua/krayina-mrij/" TargetMode="External"/><Relationship Id="rId13" Type="http://schemas.openxmlformats.org/officeDocument/2006/relationships/hyperlink" Target="http://www.barabooka.com.ua/vivat/" TargetMode="External"/><Relationship Id="rId12" Type="http://schemas.openxmlformats.org/officeDocument/2006/relationships/hyperlink" Target="http://www.barabooka.com.ua/viva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arabooka.com.ua/klub-simejnogo-dozvillya/" TargetMode="External"/><Relationship Id="rId15" Type="http://schemas.openxmlformats.org/officeDocument/2006/relationships/hyperlink" Target="https://www.barabooka.com.ua/chi-dostatno-lishe-ljubovi-shhob-zrozumiti-svoju-ditinu/" TargetMode="External"/><Relationship Id="rId14" Type="http://schemas.openxmlformats.org/officeDocument/2006/relationships/hyperlink" Target="http://www.barabooka.com.ua/svitlana-roj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barabooka.com.ua/klub-simejnogo-dozvil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qPZpilzMsNucapvhiT5jOgFxw==">CgMxLjAyCWguMzBqMHpsbDIIaC5namRneHM4AHIhMXFTYklBNmMtbmFpbTJTY1drNGdxczNQTUVoZUJ5WlU1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2022-08-11T05:45:00Z</dcterms:created>
  <dc:creator>Пользователь Windows</dc:creator>
</cp:coreProperties>
</file>