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69" w:rsidRPr="009D3373" w:rsidRDefault="00E41F69" w:rsidP="00E41F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Шинкар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.</w:t>
      </w:r>
    </w:p>
    <w:p w:rsidR="00E41F69" w:rsidRPr="009D3373" w:rsidRDefault="00E41F69" w:rsidP="00E41F6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студентка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курсу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факультету психології</w:t>
      </w:r>
      <w:r w:rsidRPr="009D3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>Київськ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ого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національн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ого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університе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ту</w:t>
      </w:r>
      <w:r w:rsidRPr="009D3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>імені Тараса Шевченка</w:t>
      </w:r>
    </w:p>
    <w:p w:rsidR="00E41F69" w:rsidRPr="009D3373" w:rsidRDefault="00E41F69" w:rsidP="00E41F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Рогаль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.</w:t>
      </w:r>
    </w:p>
    <w:p w:rsidR="00E41F69" w:rsidRPr="009D3373" w:rsidRDefault="00E41F69" w:rsidP="00E41F6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канд.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псих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. наук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>кафедр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соціальної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психології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>Київськ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ого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національн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ого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 xml:space="preserve"> університе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ту</w:t>
      </w:r>
      <w:r w:rsidRPr="009D3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37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/>
        </w:rPr>
        <w:t>імені Тараса Шевченка</w:t>
      </w:r>
    </w:p>
    <w:p w:rsidR="00E41F69" w:rsidRPr="009D3373" w:rsidRDefault="00E41F69" w:rsidP="00E41F6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41F69" w:rsidRDefault="00E41F69" w:rsidP="00E41F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33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C822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ВЗАЄМОЗВ’ЯЗОК СТІЙКОСТІ ДО СТРЕСУ ТА ПРОЯВІВ ЕМОЦІЙНОГО ВИГОРАННЯ В ІТ-ГАЛУЗІ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E32E33" w:rsidRPr="009D3373" w:rsidRDefault="00E32E33" w:rsidP="00E41F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F69" w:rsidRPr="00B06DB5" w:rsidRDefault="00E41F69" w:rsidP="00E32E33">
      <w:pPr>
        <w:pStyle w:val="a6"/>
        <w:spacing w:before="0" w:beforeAutospacing="0" w:after="0" w:afterAutospacing="0"/>
        <w:ind w:firstLine="720"/>
        <w:jc w:val="both"/>
        <w:rPr>
          <w:lang/>
        </w:rPr>
      </w:pPr>
      <w:r w:rsidRPr="005A3D02">
        <w:rPr>
          <w:b/>
          <w:bCs/>
          <w:color w:val="000000" w:themeColor="text1"/>
        </w:rPr>
        <w:t>Вступ.</w:t>
      </w:r>
      <w:r w:rsidRPr="005A3D02">
        <w:rPr>
          <w:color w:val="000000" w:themeColor="text1"/>
        </w:rPr>
        <w:t xml:space="preserve"> </w:t>
      </w:r>
      <w:r w:rsidRPr="00B06DB5">
        <w:rPr>
          <w:lang/>
        </w:rPr>
        <w:t xml:space="preserve">Стрімкий розвиток сфери інформаційних технологій призводить до зростання навантаження на працівників, що підвищує рівень професійного стресу і ризик емоційного вигорання. </w:t>
      </w:r>
      <w:r w:rsidR="00996BC2" w:rsidRPr="00996BC2">
        <w:rPr>
          <w:lang/>
        </w:rPr>
        <w:t>Постійне розумове напруження, жорсткі дедлайни та віддалене спілкування в командах роблять роботу в ІТ-сфері особливо складною з психологічної точки зору.</w:t>
      </w:r>
      <w:r w:rsidR="00996BC2">
        <w:t xml:space="preserve"> </w:t>
      </w:r>
      <w:r w:rsidRPr="00B06DB5">
        <w:rPr>
          <w:lang/>
        </w:rPr>
        <w:t>У таких умовах стійкість до стресу стає важливим психологічним ресурсом, який допомагає знижувати ризик вигорання і підтримувати професійну ефективність.</w:t>
      </w:r>
    </w:p>
    <w:p w:rsidR="00E32E33" w:rsidRDefault="00E41F69" w:rsidP="00E32E33">
      <w:pPr>
        <w:pStyle w:val="a6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5A3D02">
        <w:rPr>
          <w:color w:val="000000" w:themeColor="text1"/>
        </w:rPr>
        <w:t xml:space="preserve">Проблематика емоційного вигорання активно вивчається як зарубіжними, так і вітчизняними науковцями. Основоположником поняття емоційного вигорання вважається Г. </w:t>
      </w:r>
      <w:proofErr w:type="spellStart"/>
      <w:r w:rsidRPr="005A3D02">
        <w:rPr>
          <w:color w:val="000000" w:themeColor="text1"/>
        </w:rPr>
        <w:t>Фрейденбергер</w:t>
      </w:r>
      <w:proofErr w:type="spellEnd"/>
      <w:r w:rsidRPr="005A3D02">
        <w:rPr>
          <w:color w:val="000000" w:themeColor="text1"/>
        </w:rPr>
        <w:t xml:space="preserve">, який у 1974 році вперше описав цей феномен серед працівників допоміжних професій </w:t>
      </w:r>
      <w:r w:rsidRPr="005A3D02">
        <w:rPr>
          <w:color w:val="000000" w:themeColor="text1"/>
          <w:lang w:val="ru-RU"/>
        </w:rPr>
        <w:t>[</w:t>
      </w:r>
      <w:r w:rsidR="00996BC2">
        <w:rPr>
          <w:color w:val="000000" w:themeColor="text1"/>
          <w:lang w:val="ru-RU"/>
        </w:rPr>
        <w:t>1</w:t>
      </w:r>
      <w:r w:rsidRPr="005A3D02">
        <w:rPr>
          <w:color w:val="000000" w:themeColor="text1"/>
          <w:lang w:val="ru-RU"/>
        </w:rPr>
        <w:t>]</w:t>
      </w:r>
      <w:r w:rsidRPr="005A3D02">
        <w:rPr>
          <w:color w:val="000000" w:themeColor="text1"/>
        </w:rPr>
        <w:t xml:space="preserve">. Значного поширення концепція набула завдяки дослідженням К. </w:t>
      </w:r>
      <w:proofErr w:type="spellStart"/>
      <w:r w:rsidRPr="005A3D02">
        <w:rPr>
          <w:color w:val="000000" w:themeColor="text1"/>
        </w:rPr>
        <w:t>Маслач</w:t>
      </w:r>
      <w:proofErr w:type="spellEnd"/>
      <w:r w:rsidRPr="005A3D02">
        <w:rPr>
          <w:color w:val="000000" w:themeColor="text1"/>
        </w:rPr>
        <w:t xml:space="preserve"> та С. Джексон, які розробили трикомпонентну модель синдрому емоційного вигорання, що включає емоційне виснаження, деперсоналізацію та редукцію особистісних досягнень [2].</w:t>
      </w:r>
    </w:p>
    <w:p w:rsidR="00E41F69" w:rsidRPr="005A3D02" w:rsidRDefault="00E41F69" w:rsidP="00E32E33">
      <w:pPr>
        <w:pStyle w:val="a6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5A3D02">
        <w:rPr>
          <w:color w:val="000000" w:themeColor="text1"/>
        </w:rPr>
        <w:t>В Україні дослідження емоційного вигорання розпочалися наприкінці 1990-х років. Значний внесок зробили такі вчені, як О. Колесник [</w:t>
      </w:r>
      <w:r w:rsidR="00996BC2">
        <w:rPr>
          <w:color w:val="000000" w:themeColor="text1"/>
        </w:rPr>
        <w:t>3</w:t>
      </w:r>
      <w:r w:rsidRPr="005A3D02">
        <w:rPr>
          <w:color w:val="000000" w:themeColor="text1"/>
        </w:rPr>
        <w:t xml:space="preserve">], який досліджував особливості вигорання у військовослужбовців, В. </w:t>
      </w:r>
      <w:proofErr w:type="spellStart"/>
      <w:r w:rsidRPr="005A3D02">
        <w:rPr>
          <w:color w:val="000000" w:themeColor="text1"/>
        </w:rPr>
        <w:t>Русанов</w:t>
      </w:r>
      <w:proofErr w:type="spellEnd"/>
      <w:r w:rsidRPr="005A3D02">
        <w:rPr>
          <w:color w:val="000000" w:themeColor="text1"/>
        </w:rPr>
        <w:t xml:space="preserve"> [</w:t>
      </w:r>
      <w:r w:rsidR="00996BC2">
        <w:rPr>
          <w:color w:val="000000" w:themeColor="text1"/>
        </w:rPr>
        <w:t>4</w:t>
      </w:r>
      <w:r w:rsidRPr="005A3D02">
        <w:rPr>
          <w:color w:val="000000" w:themeColor="text1"/>
        </w:rPr>
        <w:t>], що аналізував його прояви серед медичних працівників в умовах війни, та А. Івасюк [</w:t>
      </w:r>
      <w:r w:rsidR="00996BC2">
        <w:rPr>
          <w:color w:val="000000" w:themeColor="text1"/>
        </w:rPr>
        <w:t>5</w:t>
      </w:r>
      <w:r w:rsidRPr="005A3D02">
        <w:rPr>
          <w:color w:val="000000" w:themeColor="text1"/>
        </w:rPr>
        <w:t xml:space="preserve">], яка вивчала генезу вигорання в соціальному контексті. </w:t>
      </w:r>
    </w:p>
    <w:p w:rsidR="00E41F69" w:rsidRDefault="00E41F69" w:rsidP="00E32E33">
      <w:pPr>
        <w:pStyle w:val="a6"/>
        <w:spacing w:before="0" w:beforeAutospacing="0" w:after="0" w:afterAutospacing="0"/>
        <w:ind w:firstLine="720"/>
        <w:jc w:val="both"/>
        <w:rPr>
          <w:b/>
          <w:bCs/>
          <w:color w:val="000000" w:themeColor="text1"/>
        </w:rPr>
      </w:pPr>
      <w:r w:rsidRPr="005A3D02">
        <w:rPr>
          <w:color w:val="000000" w:themeColor="text1"/>
        </w:rPr>
        <w:t xml:space="preserve">Попри значну увагу до вивчення емоційного вигорання в медичних, освітніх, </w:t>
      </w:r>
      <w:proofErr w:type="spellStart"/>
      <w:r w:rsidRPr="005A3D02">
        <w:rPr>
          <w:color w:val="000000" w:themeColor="text1"/>
        </w:rPr>
        <w:t>соціономічних</w:t>
      </w:r>
      <w:proofErr w:type="spellEnd"/>
      <w:r w:rsidRPr="005A3D02">
        <w:rPr>
          <w:color w:val="000000" w:themeColor="text1"/>
        </w:rPr>
        <w:t xml:space="preserve"> професіях, у контексті ІТ-сфери воно досліджене недостатньо. Специфіка проявів цього синдрому залежить від характеру посадових обов’язків, гнучких форматів роботи (дистанційної, </w:t>
      </w:r>
      <w:proofErr w:type="spellStart"/>
      <w:r w:rsidRPr="005A3D02">
        <w:rPr>
          <w:color w:val="000000" w:themeColor="text1"/>
        </w:rPr>
        <w:t>проєктної</w:t>
      </w:r>
      <w:proofErr w:type="spellEnd"/>
      <w:r w:rsidRPr="005A3D02">
        <w:rPr>
          <w:color w:val="000000" w:themeColor="text1"/>
        </w:rPr>
        <w:t>), швидкоплинності робочого середовища та відсутності чітких меж між роботою та особистим життям. Також недостатньо окреслені ефективні психологічні інструменти підтримки ІТ-фахівців, що підвищує актуальність дослідження саме цієї професійної групи. Соціальна та практична значущість проблеми зумовили вибір теми дослідження</w:t>
      </w:r>
      <w:r w:rsidR="00F6780C">
        <w:rPr>
          <w:color w:val="000000" w:themeColor="text1"/>
        </w:rPr>
        <w:t>.</w:t>
      </w:r>
    </w:p>
    <w:p w:rsidR="00E41F69" w:rsidRPr="00C822AE" w:rsidRDefault="00E41F69" w:rsidP="00E32E33">
      <w:pPr>
        <w:pStyle w:val="a6"/>
        <w:spacing w:before="0" w:beforeAutospacing="0" w:after="0" w:afterAutospacing="0"/>
        <w:ind w:firstLine="720"/>
        <w:jc w:val="both"/>
        <w:rPr>
          <w:lang/>
        </w:rPr>
      </w:pPr>
      <w:r w:rsidRPr="009D3373">
        <w:rPr>
          <w:b/>
          <w:bCs/>
          <w:color w:val="000000" w:themeColor="text1"/>
        </w:rPr>
        <w:t>Постановка задачі.</w:t>
      </w:r>
      <w:r w:rsidRPr="009D3373">
        <w:rPr>
          <w:color w:val="000000" w:themeColor="text1"/>
        </w:rPr>
        <w:t xml:space="preserve"> </w:t>
      </w:r>
      <w:r w:rsidRPr="00C822AE">
        <w:rPr>
          <w:lang/>
        </w:rPr>
        <w:t>Об’єктом дослідження є емоційне вигорання працівників ІТ-сфери.</w:t>
      </w:r>
      <w:r>
        <w:t xml:space="preserve"> </w:t>
      </w:r>
      <w:r w:rsidRPr="00C822AE">
        <w:rPr>
          <w:lang/>
        </w:rPr>
        <w:t>Предметом дослідження виступає взаємозв’язок рівня стійкості до стресу та проявів емоційного вигорання в ІТ-галузі.</w:t>
      </w:r>
      <w:r>
        <w:t xml:space="preserve"> </w:t>
      </w:r>
      <w:r w:rsidRPr="00C822AE">
        <w:rPr>
          <w:lang/>
        </w:rPr>
        <w:t>Метою дослідження є проаналізувати взаємозв’язок між стійкістю до стресу та проявами емоційного вигорання серед працівників ІТ-сфери, виявити особливості прояву стресостійкості у фахівців з різним рівнем емоційного вигорання, а також визначити потенційні психологічні ресурси для профілактики вигорання в умовах професійної діяльності в ІТ-галузі.</w:t>
      </w:r>
    </w:p>
    <w:p w:rsidR="00E32E33" w:rsidRPr="00E32E33" w:rsidRDefault="00E41F69" w:rsidP="00E32E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Основний матеріал.</w:t>
      </w:r>
      <w:r w:rsidRPr="00C82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2AE">
        <w:rPr>
          <w:rFonts w:ascii="Times New Roman" w:hAnsi="Times New Roman" w:cs="Times New Roman"/>
          <w:sz w:val="24"/>
          <w:szCs w:val="24"/>
        </w:rPr>
        <w:t xml:space="preserve">З метою виявлення взаємозв’язку між рівнем стійкості до стресу та загальним синдромом професійного вигорання було проведено кореляційний аналіз із використанням коефіцієнта </w:t>
      </w:r>
      <w:proofErr w:type="spellStart"/>
      <w:r w:rsidRPr="00C822AE">
        <w:rPr>
          <w:rFonts w:ascii="Times New Roman" w:hAnsi="Times New Roman" w:cs="Times New Roman"/>
          <w:sz w:val="24"/>
          <w:szCs w:val="24"/>
        </w:rPr>
        <w:t>Пірсона</w:t>
      </w:r>
      <w:proofErr w:type="spellEnd"/>
      <w:r w:rsidRPr="00C822AE">
        <w:rPr>
          <w:rFonts w:ascii="Times New Roman" w:hAnsi="Times New Roman" w:cs="Times New Roman"/>
          <w:sz w:val="24"/>
          <w:szCs w:val="24"/>
        </w:rPr>
        <w:t xml:space="preserve">. Статистичну обробку даних здійснено за допомогою програмного забезпечення </w:t>
      </w:r>
      <w:proofErr w:type="spellStart"/>
      <w:r w:rsidRPr="00C822AE">
        <w:rPr>
          <w:rFonts w:ascii="Times New Roman" w:hAnsi="Times New Roman" w:cs="Times New Roman"/>
          <w:sz w:val="24"/>
          <w:szCs w:val="24"/>
        </w:rPr>
        <w:t>Jamovi</w:t>
      </w:r>
      <w:proofErr w:type="spellEnd"/>
      <w:r w:rsidRPr="00C822AE">
        <w:rPr>
          <w:rFonts w:ascii="Times New Roman" w:hAnsi="Times New Roman" w:cs="Times New Roman"/>
          <w:sz w:val="24"/>
          <w:szCs w:val="24"/>
        </w:rPr>
        <w:t xml:space="preserve">. Дані результату представлені у таблиці </w:t>
      </w:r>
      <w:r w:rsidR="00E32E33">
        <w:rPr>
          <w:rFonts w:ascii="Times New Roman" w:hAnsi="Times New Roman" w:cs="Times New Roman"/>
          <w:sz w:val="24"/>
          <w:szCs w:val="24"/>
        </w:rPr>
        <w:t>1</w:t>
      </w:r>
      <w:r w:rsidRPr="00C822AE">
        <w:rPr>
          <w:rFonts w:ascii="Times New Roman" w:hAnsi="Times New Roman" w:cs="Times New Roman"/>
          <w:sz w:val="24"/>
          <w:szCs w:val="24"/>
        </w:rPr>
        <w:t>.</w:t>
      </w:r>
    </w:p>
    <w:p w:rsidR="00996BC2" w:rsidRDefault="00996BC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" w:eastAsia="en-GB"/>
        </w:rPr>
      </w:pPr>
      <w:r>
        <w:rPr>
          <w:i/>
          <w:iCs/>
          <w:sz w:val="24"/>
          <w:szCs w:val="24"/>
        </w:rPr>
        <w:br w:type="page"/>
      </w:r>
    </w:p>
    <w:p w:rsidR="00E41F69" w:rsidRPr="00E32E33" w:rsidRDefault="00E41F69" w:rsidP="00E41F69">
      <w:pPr>
        <w:pStyle w:val="p1"/>
        <w:jc w:val="right"/>
        <w:rPr>
          <w:sz w:val="24"/>
          <w:szCs w:val="24"/>
          <w:lang w:val="uk-UA"/>
        </w:rPr>
      </w:pPr>
      <w:r w:rsidRPr="00C822AE">
        <w:rPr>
          <w:i/>
          <w:iCs/>
          <w:sz w:val="24"/>
          <w:szCs w:val="24"/>
        </w:rPr>
        <w:lastRenderedPageBreak/>
        <w:t xml:space="preserve">Таблиця </w:t>
      </w:r>
      <w:r w:rsidR="00E32E33">
        <w:rPr>
          <w:i/>
          <w:iCs/>
          <w:sz w:val="24"/>
          <w:szCs w:val="24"/>
          <w:lang w:val="uk-UA"/>
        </w:rPr>
        <w:t>1</w:t>
      </w:r>
    </w:p>
    <w:p w:rsidR="00E41F69" w:rsidRPr="00C822AE" w:rsidRDefault="00E41F69" w:rsidP="00E41F69">
      <w:pPr>
        <w:pStyle w:val="p1"/>
        <w:jc w:val="center"/>
        <w:rPr>
          <w:b/>
          <w:bCs/>
          <w:sz w:val="24"/>
          <w:szCs w:val="24"/>
        </w:rPr>
      </w:pPr>
      <w:r w:rsidRPr="00C822AE">
        <w:rPr>
          <w:b/>
          <w:bCs/>
          <w:sz w:val="24"/>
          <w:szCs w:val="24"/>
          <w:lang w:val="uk-UA"/>
        </w:rPr>
        <w:t xml:space="preserve">Взаємозв’язок між рівнем стійкості до стресу та загальним синдромом професійного вигорання </w:t>
      </w:r>
    </w:p>
    <w:p w:rsidR="00E41F69" w:rsidRPr="00C822AE" w:rsidRDefault="00E41F69" w:rsidP="00E41F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650"/>
        <w:gridCol w:w="2035"/>
        <w:gridCol w:w="2973"/>
      </w:tblGrid>
      <w:tr w:rsidR="00E41F69" w:rsidRPr="00C822AE" w:rsidTr="00F6780C">
        <w:trPr>
          <w:jc w:val="center"/>
        </w:trPr>
        <w:tc>
          <w:tcPr>
            <w:tcW w:w="0" w:type="auto"/>
            <w:gridSpan w:val="4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Кореляційна матриця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hideMark/>
          </w:tcPr>
          <w:p w:rsidR="00E41F69" w:rsidRPr="00C822AE" w:rsidRDefault="00E41F69" w:rsidP="00283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Рівень стійкості до стресу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Загальний синдром професійного вигорання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 w:val="restart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Рівень стійкості до стресу</w:t>
            </w: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Pearson's</w:t>
            </w:r>
            <w:proofErr w:type="spellEnd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</w:t>
            </w:r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p-</w:t>
            </w: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 w:val="restart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Загальний синдром професійного вигорання</w:t>
            </w: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Pearson's</w:t>
            </w:r>
            <w:proofErr w:type="spellEnd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</w:t>
            </w:r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-0.688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  <w:tr w:rsidR="00E41F69" w:rsidRPr="00C822AE" w:rsidTr="00F6780C">
        <w:trPr>
          <w:jc w:val="center"/>
        </w:trPr>
        <w:tc>
          <w:tcPr>
            <w:tcW w:w="2689" w:type="dxa"/>
            <w:vMerge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E41F69" w:rsidRPr="00C822AE" w:rsidRDefault="00E41F69" w:rsidP="00283B0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p-</w:t>
            </w:r>
            <w:proofErr w:type="spellStart"/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035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&lt;.001</w:t>
            </w:r>
          </w:p>
        </w:tc>
        <w:tc>
          <w:tcPr>
            <w:tcW w:w="2973" w:type="dxa"/>
            <w:hideMark/>
          </w:tcPr>
          <w:p w:rsidR="00E41F69" w:rsidRPr="00C822AE" w:rsidRDefault="00E41F69" w:rsidP="00283B0E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2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</w:tr>
    </w:tbl>
    <w:p w:rsidR="00E41F69" w:rsidRPr="00C822AE" w:rsidRDefault="00E41F69" w:rsidP="00E41F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hAnsi="Times New Roman" w:cs="Times New Roman"/>
          <w:sz w:val="24"/>
          <w:szCs w:val="24"/>
        </w:rPr>
        <w:t xml:space="preserve">До аналізу було залучено вибірку з n = 51 </w:t>
      </w:r>
      <w:r w:rsidR="00D00E52">
        <w:rPr>
          <w:rFonts w:ascii="Times New Roman" w:hAnsi="Times New Roman" w:cs="Times New Roman"/>
          <w:sz w:val="24"/>
          <w:szCs w:val="24"/>
        </w:rPr>
        <w:t>досліджуваних</w:t>
      </w:r>
      <w:r w:rsidRPr="00F6780C">
        <w:rPr>
          <w:rFonts w:ascii="Times New Roman" w:hAnsi="Times New Roman" w:cs="Times New Roman"/>
          <w:sz w:val="24"/>
          <w:szCs w:val="24"/>
        </w:rPr>
        <w:t>. У результаті аналізу встановлено наявність статистично значущого зворотного зв’язку між досліджуваними змінними: r = -0</w:t>
      </w:r>
      <w:r w:rsidR="00996BC2">
        <w:rPr>
          <w:rFonts w:ascii="Times New Roman" w:hAnsi="Times New Roman" w:cs="Times New Roman"/>
          <w:sz w:val="24"/>
          <w:szCs w:val="24"/>
        </w:rPr>
        <w:t>,</w:t>
      </w:r>
      <w:r w:rsidRPr="00F6780C">
        <w:rPr>
          <w:rFonts w:ascii="Times New Roman" w:hAnsi="Times New Roman" w:cs="Times New Roman"/>
          <w:sz w:val="24"/>
          <w:szCs w:val="24"/>
        </w:rPr>
        <w:t>688, p &lt; 0</w:t>
      </w:r>
      <w:r w:rsidR="00996BC2">
        <w:rPr>
          <w:rFonts w:ascii="Times New Roman" w:hAnsi="Times New Roman" w:cs="Times New Roman"/>
          <w:sz w:val="24"/>
          <w:szCs w:val="24"/>
        </w:rPr>
        <w:t>,</w:t>
      </w:r>
      <w:r w:rsidRPr="00F6780C">
        <w:rPr>
          <w:rFonts w:ascii="Times New Roman" w:hAnsi="Times New Roman" w:cs="Times New Roman"/>
          <w:sz w:val="24"/>
          <w:szCs w:val="24"/>
        </w:rPr>
        <w:t xml:space="preserve">001. Отримане значення свідчить про </w:t>
      </w:r>
      <w:proofErr w:type="spellStart"/>
      <w:r w:rsidRPr="00F6780C">
        <w:rPr>
          <w:rFonts w:ascii="Times New Roman" w:hAnsi="Times New Roman" w:cs="Times New Roman"/>
          <w:sz w:val="24"/>
          <w:szCs w:val="24"/>
        </w:rPr>
        <w:t>помірно</w:t>
      </w:r>
      <w:proofErr w:type="spellEnd"/>
      <w:r w:rsidRPr="00F6780C">
        <w:rPr>
          <w:rFonts w:ascii="Times New Roman" w:hAnsi="Times New Roman" w:cs="Times New Roman"/>
          <w:sz w:val="24"/>
          <w:szCs w:val="24"/>
        </w:rPr>
        <w:t xml:space="preserve"> сильну негативну кореляцію, що інтерпретується як тенденція до зниження рівня професійного вигорання зі зростанням рівня стійкості до стресу. Іншими словами, респонденти з вищими показниками здатності протистояти стресу виявляють нижчий рівень емоційного виснаження, деперсоналізації та редукції професійних досягнень.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hAnsi="Times New Roman" w:cs="Times New Roman"/>
          <w:sz w:val="24"/>
          <w:szCs w:val="24"/>
        </w:rPr>
        <w:t>Такий результат узгоджується з теоретичними положеннями щодо захисної функції стійкості до стресу у професійному середовищі. Висока адаптивність до стресових чинників сприяє збереженню психоемоційної стабільності, що, своєю чергою, знижує ймовірність формування синдрому професійного вигорання. Отримані дані підтверджують доцільність подальших досліджень у напрямі розвитку особистісних ресурсів, зокрема рівня стійкості до стресу, як важливого чинника збереження психологічного благополуччя в умовах професійної діяльності.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Отримані нами результати дослідження, проведеного серед фахівців ІТ-сфери, підтверджують гіпотезу про те, що рівень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стресостійкості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, обрані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копінг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-стратегії та професійне вигорання перебувають у складній, але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логічно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 обґрунтованій взаємозалежності. Це підтверджується як українськими, так і зарубіжними дослідженнями.</w:t>
      </w:r>
    </w:p>
    <w:p w:rsidR="00E41F69" w:rsidRPr="00F6780C" w:rsidRDefault="00E41F69" w:rsidP="00996B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80C">
        <w:rPr>
          <w:rFonts w:ascii="Times New Roman" w:hAnsi="Times New Roman" w:cs="Times New Roman"/>
          <w:color w:val="000000"/>
          <w:sz w:val="24"/>
          <w:szCs w:val="24"/>
        </w:rPr>
        <w:t>У нашому дослідженні переважна частина респондентів продемонструвала середній та високий рівень стійкості до стресу.</w:t>
      </w:r>
      <w:r w:rsidRPr="00F6780C">
        <w:rPr>
          <w:rFonts w:ascii="Times New Roman" w:hAnsi="Times New Roman" w:cs="Times New Roman"/>
          <w:sz w:val="24"/>
          <w:szCs w:val="24"/>
        </w:rPr>
        <w:t xml:space="preserve">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Цікаво, що найнижчий рівень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стресостійкості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 спостерігався у працівників із досвідом 4-7 років. Дані дослідження вказують на наявність гендерних відмінностей у виборі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копінг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-стратегій. Жінки схильні до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емоційно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-забарвлених механізмів (самоаналіз, підтримка), тоді як чоловіки </w:t>
      </w:r>
      <w:r w:rsidRPr="00F6780C">
        <w:rPr>
          <w:rFonts w:ascii="Times New Roman" w:hAnsi="Times New Roman" w:cs="Times New Roman"/>
          <w:sz w:val="24"/>
          <w:szCs w:val="24"/>
        </w:rPr>
        <w:t xml:space="preserve">–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>до активних і когнітивних (планування, прийняття рішень).</w:t>
      </w:r>
      <w:r w:rsidR="00996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Професійне вигорання найчастіше фіксувалося у менеджерів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проєктів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 і фахівців технічної підтримки.</w:t>
      </w:r>
      <w:r w:rsidR="00996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Важливим чинником виступає формат організації праці. У нашому дослідженні працівники з гнучким графіком або офісним форматом демонстрували вищу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стресостійкість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6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У переважної більшості опитаних домінують адаптивні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копінг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-стратегії: планування, активні дії, пошук соціальної підтримки. 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Кореляційний аналіз виявив статистично значущий зворотний зв’язок між рівнем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стресостійкості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 та інтенсивністю симптомів емоційного вигорання (r = -0.688, p &lt; 0.001), що узгоджується з тим, що ресурси (зокрема </w:t>
      </w:r>
      <w:r w:rsidRPr="00F6780C">
        <w:rPr>
          <w:rFonts w:ascii="Times New Roman" w:hAnsi="Times New Roman" w:cs="Times New Roman"/>
          <w:sz w:val="24"/>
          <w:szCs w:val="24"/>
        </w:rPr>
        <w:t xml:space="preserve">– </w:t>
      </w:r>
      <w:r w:rsidRPr="00F6780C">
        <w:rPr>
          <w:rFonts w:ascii="Times New Roman" w:hAnsi="Times New Roman" w:cs="Times New Roman"/>
          <w:color w:val="000000"/>
          <w:sz w:val="24"/>
          <w:szCs w:val="24"/>
        </w:rPr>
        <w:t xml:space="preserve">поведінка та </w:t>
      </w:r>
      <w:proofErr w:type="spellStart"/>
      <w:r w:rsidRPr="00F6780C">
        <w:rPr>
          <w:rFonts w:ascii="Times New Roman" w:hAnsi="Times New Roman" w:cs="Times New Roman"/>
          <w:color w:val="000000"/>
          <w:sz w:val="24"/>
          <w:szCs w:val="24"/>
        </w:rPr>
        <w:t>стресостійкість</w:t>
      </w:r>
      <w:proofErr w:type="spellEnd"/>
      <w:r w:rsidRPr="00F6780C">
        <w:rPr>
          <w:rFonts w:ascii="Times New Roman" w:hAnsi="Times New Roman" w:cs="Times New Roman"/>
          <w:color w:val="000000"/>
          <w:sz w:val="24"/>
          <w:szCs w:val="24"/>
        </w:rPr>
        <w:t>) є буфером у професійній адаптації.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Висновки.</w:t>
      </w:r>
      <w:r w:rsidRPr="00F67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Проведене дослідження підтвердило важливість розвитку стійкості до стресу як ефективного ресурсу для запобігання емоційному вигоранню серед працівників ІТ-сфери.</w:t>
      </w:r>
      <w:r w:rsidRPr="00F6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Результати дослідження показали, що більшість працівників ІТ-сфери мають середній або високий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рівень стресостійкості, а професійне вигорання у них частіше проявляється на низькому або помірному рівні. Водночас виявлений сильний зворотний зв’язок між стресостійкістю та вигоранням (r = </w:t>
      </w:r>
      <w:r w:rsidR="00D00E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0.688) свідчить: що вища стійкість до стресу, то нижчий рівень вигорання. Це підтверджує потребу у системних профілактичних заходах.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Насамперед варто впроваджувати програми розвитку стресостійкості, особливо для працівників зі стажем 4</w:t>
      </w:r>
      <w:r w:rsidR="00D00E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7 років, де вже спостерігається зниження адаптивності. Для них будуть корисними тренінги з емоційної саморегуляції, управління ресурсами та планування навантаження. Молодим спеціалістам (зі стажем 1–3 роки) важливо своєчасно надавати психоедукаційну підтримку для запобігання ранньому вигоранню.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Формат роботи також має значення: працівники офісів і гнучких графіків демонструють вищу стресостійкість і менше вигорання, ніж ті, хто працює дистанційно або в гібридних умовах. Тому важливо оптимізувати організацію віддаленої роботи: чітко окреслювати робочий час, підтримувати регулярну взаємодію в командах та забезпечувати психологічну підтримку.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 xml:space="preserve">Враховуючи гендерні особливості, варто індивідуалізувати підходи до психологічної допомоги. Жінкам більше підходять групові формати підтримки (терапевтичні групи, супервізії), тоді як чоловікам </w:t>
      </w:r>
      <w:r w:rsidR="00513259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="00513259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коучинг, розвиток тайм-менеджменту та навичок постановки цілей.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 xml:space="preserve">Дослідження також показало, що фахівці з високою стресостійкістю частіше використовують конструктивні копінг-стратегії </w:t>
      </w:r>
      <w:r w:rsidR="00D00E52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="00D00E52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 xml:space="preserve"> </w:t>
      </w:r>
      <w:r w:rsidR="00D00E52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активне планування та дію. Це означає, що профілактика вигорання має включати розвиток майндфулнесу, когнітивно-поведінкових навичок і коротких практик рефлексії в робочому графіку.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 xml:space="preserve">Окрема увага </w:t>
      </w:r>
      <w:r w:rsidR="00513259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="00513259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роботі зі стресовими моделями поведінки: серед працівників виявлена тенденція до уникнення стресових ситуацій. Тому важливо навчати активному зворотному зв’язку, конструктивній комунікації та асертивності без агресії.</w:t>
      </w:r>
    </w:p>
    <w:p w:rsidR="00E41F69" w:rsidRPr="00F6780C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Загалом, результати дослідження доводять: розвиток стресостійкості, емоційної грамотності й створення підтримуючого робочого середовища є ключовими умовами для профілактики вигорання серед ІТ-фахівців. Інвестиції в психологічну підтримку працівників </w:t>
      </w:r>
      <w:r w:rsidR="00D00E52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="00D00E52">
        <w:rPr>
          <w:rFonts w:ascii="Arial" w:hAnsi="Arial" w:cs="Arial"/>
          <w:color w:val="474747"/>
          <w:sz w:val="21"/>
          <w:szCs w:val="21"/>
          <w:shd w:val="clear" w:color="auto" w:fill="FFFFFF"/>
          <w:lang w:val="en-US"/>
        </w:rPr>
        <w:t xml:space="preserve"> </w:t>
      </w:r>
      <w:r w:rsidRPr="00F6780C">
        <w:rPr>
          <w:rFonts w:ascii="Times New Roman" w:eastAsia="Times New Roman" w:hAnsi="Times New Roman" w:cs="Times New Roman"/>
          <w:sz w:val="24"/>
          <w:szCs w:val="24"/>
          <w:lang/>
        </w:rPr>
        <w:t>це не розкіш, а необхідність сучасної ІТ-індустрії.</w:t>
      </w:r>
    </w:p>
    <w:p w:rsidR="00E41F69" w:rsidRPr="009D3373" w:rsidRDefault="00E41F69" w:rsidP="00E41F6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Література</w:t>
      </w:r>
      <w:r w:rsidRPr="009D3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:</w:t>
      </w:r>
    </w:p>
    <w:p w:rsidR="00E41F69" w:rsidRDefault="00996BC2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1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Зливков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Л., Лукомська С. О. Теорія та практика психологічних тренінгів. К.-Ніжин : Видавець ПП Лисенко М. М., 2019. 209 с.</w:t>
      </w:r>
    </w:p>
    <w:p w:rsidR="00E41F69" w:rsidRDefault="00E41F69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Практична психосоматика: діагностичні шкали: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навч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посіб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/ за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заг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ред. О. С. Чабана, О. О.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Хаустової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3-тє вид.,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випр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і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допов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Київ: </w:t>
      </w:r>
      <w:proofErr w:type="spellStart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Медкнига</w:t>
      </w:r>
      <w:proofErr w:type="spellEnd"/>
      <w:r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, 2022. 200 с.</w:t>
      </w:r>
    </w:p>
    <w:p w:rsidR="00E41F69" w:rsidRDefault="00996BC2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41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Колесник О. І. Особливості розвитку синдрому емоційного вигорання у військовослужбовців контрактної служби в сучасних умовах.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innovations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11th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practical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Kyoto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Japan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July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21–23, 2021).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Kyoto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CPN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Publishing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, 2021. С. 157–165.</w:t>
      </w:r>
    </w:p>
    <w:p w:rsidR="00E41F69" w:rsidRDefault="00996BC2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1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Русанов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Професійне вигорання медичних працівників в умовах війни: історичний аналіз, сучасні дослідження та авторське визначення.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Psychosomatic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Medicine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General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, 2024. Т. 9, № 3.</w:t>
      </w:r>
    </w:p>
    <w:p w:rsidR="00285031" w:rsidRPr="00E41F69" w:rsidRDefault="00996BC2" w:rsidP="00E41F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41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1F69" w:rsidRPr="0095190A">
        <w:rPr>
          <w:rFonts w:ascii="Times New Roman" w:hAnsi="Times New Roman" w:cs="Times New Roman"/>
          <w:color w:val="000000" w:themeColor="text1"/>
          <w:sz w:val="24"/>
          <w:szCs w:val="24"/>
        </w:rPr>
        <w:t>Івасюк А. М. Генеза емоційного вигорання особистості. Вісник Національного університету оборони України. 2024. № 2 (78). С. 71–80.</w:t>
      </w:r>
    </w:p>
    <w:sectPr w:rsidR="00285031" w:rsidRPr="00E41F69" w:rsidSect="00E41F69">
      <w:pgSz w:w="12240" w:h="15840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454F"/>
    <w:multiLevelType w:val="hybridMultilevel"/>
    <w:tmpl w:val="CE7AD882"/>
    <w:lvl w:ilvl="0" w:tplc="B91E2F74">
      <w:start w:val="1"/>
      <w:numFmt w:val="decimal"/>
      <w:suff w:val="space"/>
      <w:lvlText w:val="%1."/>
      <w:lvlJc w:val="left"/>
      <w:pPr>
        <w:ind w:left="0" w:firstLine="708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C9"/>
    <w:rsid w:val="000B4437"/>
    <w:rsid w:val="00285031"/>
    <w:rsid w:val="00304D9F"/>
    <w:rsid w:val="00332B42"/>
    <w:rsid w:val="004059C9"/>
    <w:rsid w:val="00423D77"/>
    <w:rsid w:val="004F06F9"/>
    <w:rsid w:val="00513259"/>
    <w:rsid w:val="00533698"/>
    <w:rsid w:val="00635943"/>
    <w:rsid w:val="00637D80"/>
    <w:rsid w:val="00680004"/>
    <w:rsid w:val="006A222D"/>
    <w:rsid w:val="006E7F20"/>
    <w:rsid w:val="00751E84"/>
    <w:rsid w:val="00890C37"/>
    <w:rsid w:val="008B5957"/>
    <w:rsid w:val="009414BC"/>
    <w:rsid w:val="00996BC2"/>
    <w:rsid w:val="009B6C61"/>
    <w:rsid w:val="009C3C83"/>
    <w:rsid w:val="00A52D0D"/>
    <w:rsid w:val="00A8279B"/>
    <w:rsid w:val="00AB25D1"/>
    <w:rsid w:val="00B12901"/>
    <w:rsid w:val="00B9049C"/>
    <w:rsid w:val="00C132D2"/>
    <w:rsid w:val="00C403D7"/>
    <w:rsid w:val="00CA0F72"/>
    <w:rsid w:val="00D00E52"/>
    <w:rsid w:val="00DC4410"/>
    <w:rsid w:val="00E32E33"/>
    <w:rsid w:val="00E41BDC"/>
    <w:rsid w:val="00E41F69"/>
    <w:rsid w:val="00E748C4"/>
    <w:rsid w:val="00EB1630"/>
    <w:rsid w:val="00F6780C"/>
    <w:rsid w:val="00F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0D9A7-F419-4EE8-A744-D7A1AA4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65A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7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FA1B9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A1B9F"/>
    <w:pPr>
      <w:ind w:left="720"/>
      <w:contextualSpacing/>
    </w:pPr>
  </w:style>
  <w:style w:type="paragraph" w:customStyle="1" w:styleId="p1">
    <w:name w:val="p1"/>
    <w:basedOn w:val="a"/>
    <w:rsid w:val="00E41F69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val="uk" w:eastAsia="en-GB"/>
    </w:rPr>
  </w:style>
  <w:style w:type="character" w:styleId="ab">
    <w:name w:val="Strong"/>
    <w:basedOn w:val="a0"/>
    <w:uiPriority w:val="22"/>
    <w:qFormat/>
    <w:rsid w:val="00E4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q44tr0EkdmD+wpdURivQ68mAQ==">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Оксана Выговская</cp:lastModifiedBy>
  <cp:revision>2</cp:revision>
  <dcterms:created xsi:type="dcterms:W3CDTF">2025-05-02T07:27:00Z</dcterms:created>
  <dcterms:modified xsi:type="dcterms:W3CDTF">2025-05-02T07:27:00Z</dcterms:modified>
</cp:coreProperties>
</file>