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D" w:rsidRDefault="007B300D" w:rsidP="007B300D">
      <w:pPr>
        <w:jc w:val="center"/>
        <w:rPr>
          <w:b/>
          <w:lang w:val="ru-RU"/>
        </w:rPr>
      </w:pPr>
      <w:proofErr w:type="spellStart"/>
      <w:r w:rsidRPr="00BB398B">
        <w:rPr>
          <w:b/>
          <w:lang w:val="ru-RU"/>
        </w:rPr>
        <w:t>Medicine</w:t>
      </w:r>
      <w:proofErr w:type="spellEnd"/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МОЙСЕЄНКО Валентина Олексіївна,</w:t>
      </w:r>
    </w:p>
    <w:p w:rsidR="007B300D" w:rsidRPr="001F55C8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доктор медичних наук, професор, академік НАН ВО України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</w:t>
      </w:r>
    </w:p>
    <w:p w:rsidR="007B300D" w:rsidRP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медичний університет імені О.О. Богомольця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ORCID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:0000-0003-1402-6028</w:t>
      </w:r>
    </w:p>
    <w:p w:rsidR="00F33574" w:rsidRDefault="00F33574" w:rsidP="00F33574">
      <w:pPr>
        <w:spacing w:after="0" w:line="360" w:lineRule="auto"/>
        <w:ind w:firstLine="720"/>
        <w:jc w:val="center"/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</w:pPr>
      <w:r w:rsidRPr="00F33574"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 xml:space="preserve">КОРЕКЦІЯ КИСЛОТОЗАЛЕЖНИХ СТАНІВ: </w:t>
      </w:r>
      <w:r w:rsidRPr="00F33574"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br/>
      </w:r>
      <w:r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 xml:space="preserve">          </w:t>
      </w:r>
      <w:r w:rsidRPr="00F33574">
        <w:rPr>
          <w:rFonts w:ascii="Times New Roman" w:eastAsiaTheme="majorEastAsia" w:hAnsi="Times New Roman" w:cs="Times New Roman"/>
          <w:b/>
          <w:bCs/>
          <w:color w:val="0C0C0C"/>
          <w:kern w:val="24"/>
          <w:sz w:val="28"/>
          <w:szCs w:val="28"/>
          <w:lang w:val="uk-UA"/>
        </w:rPr>
        <w:t>У ФОКУСІ – ІНГІБІТОРИ ПРОТОННОЇ ПОМПИ</w:t>
      </w:r>
    </w:p>
    <w:p w:rsidR="00B06005" w:rsidRDefault="00F01338" w:rsidP="00B0600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найчастіше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діагностованих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кислотозалежних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станів, які потребують корекції, виділяють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гастроезофагеальн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рефлюксн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(ГЕРХ)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стравохід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Барретта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, гастрит, виразков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хвороб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(т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ерапія H. </w:t>
      </w:r>
      <w:proofErr w:type="spellStart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pylori</w:t>
      </w:r>
      <w:proofErr w:type="spellEnd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- негативн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пептичн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End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вираз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70DF8" w:rsidRPr="00270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пригнічення продукції соляної кислоти у шлунку при низці </w:t>
      </w:r>
      <w:proofErr w:type="spellStart"/>
      <w:r w:rsidR="00270DF8" w:rsidRPr="00270DF8">
        <w:rPr>
          <w:rFonts w:ascii="Times New Roman" w:hAnsi="Times New Roman" w:cs="Times New Roman"/>
          <w:bCs/>
          <w:sz w:val="28"/>
          <w:szCs w:val="28"/>
          <w:lang w:val="uk-UA"/>
        </w:rPr>
        <w:t>кислотозалежних</w:t>
      </w:r>
      <w:proofErr w:type="spellEnd"/>
      <w:r w:rsidR="00270DF8" w:rsidRPr="00270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захворювань широко використовуються інгібітори протонної помпи (ІПП)</w:t>
      </w:r>
      <w:r w:rsidR="00270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70DF8" w:rsidRPr="00270DF8">
        <w:rPr>
          <w:rFonts w:ascii="Times New Roman" w:hAnsi="Times New Roman" w:cs="Times New Roman"/>
          <w:bCs/>
          <w:sz w:val="28"/>
          <w:szCs w:val="28"/>
          <w:lang w:val="uk-UA"/>
        </w:rPr>
        <w:t>[1].</w:t>
      </w:r>
      <w:r w:rsidR="00270DF8" w:rsidRPr="00270D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Уваги до призначення інгібіторів протонної помпи потребують 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схем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ерадикаційної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терапії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Helicobacter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pylori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у комбінації з двома або більше антибіотиками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тривалий прийом 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нестероїдни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протизапальни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препарат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(НПЗП)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</w:t>
      </w:r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профілактики формування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ерозивно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-виразкових уражень та кровотеч </w:t>
      </w:r>
      <w:proofErr w:type="spellStart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>гастродуоденальної</w:t>
      </w:r>
      <w:proofErr w:type="spellEnd"/>
      <w:r w:rsidRPr="00F01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зони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, а також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упутня терапія з ендоскопічними процедурами для контролю кровотечі з верхніх відділів травної системи</w:t>
      </w:r>
      <w:r w:rsidR="0026365C">
        <w:rPr>
          <w:rFonts w:ascii="Times New Roman" w:hAnsi="Times New Roman" w:cs="Times New Roman"/>
          <w:bCs/>
          <w:sz w:val="28"/>
          <w:szCs w:val="28"/>
          <w:lang w:val="uk-UA"/>
        </w:rPr>
        <w:t>, м</w:t>
      </w:r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едикаментозне лікування синдрому </w:t>
      </w:r>
      <w:proofErr w:type="spellStart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Золлінгера-Еллісона</w:t>
      </w:r>
      <w:proofErr w:type="spellEnd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(підвищеної продукції </w:t>
      </w:r>
      <w:proofErr w:type="spellStart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гастрину</w:t>
      </w:r>
      <w:proofErr w:type="spellEnd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пухлиною </w:t>
      </w:r>
      <w:proofErr w:type="spellStart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>острівкового</w:t>
      </w:r>
      <w:proofErr w:type="spellEnd"/>
      <w:r w:rsidR="0026365C" w:rsidRPr="0026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апарату підшлункової залози).</w:t>
      </w:r>
      <w:r w:rsidR="00270DF8" w:rsidRPr="00270D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ГЕРХ діагностується </w:t>
      </w:r>
      <w:r w:rsidR="00270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навіть </w:t>
      </w:r>
      <w:r w:rsidR="00B7008C">
        <w:rPr>
          <w:rFonts w:ascii="Times New Roman" w:hAnsi="Times New Roman" w:cs="Times New Roman"/>
          <w:bCs/>
          <w:sz w:val="28"/>
          <w:szCs w:val="28"/>
          <w:lang w:val="uk-UA"/>
        </w:rPr>
        <w:t>у немовлят</w:t>
      </w:r>
      <w:r w:rsidR="00270DF8" w:rsidRPr="0055714E">
        <w:rPr>
          <w:rFonts w:ascii="Times New Roman" w:hAnsi="Times New Roman" w:cs="Times New Roman"/>
          <w:bCs/>
          <w:sz w:val="28"/>
          <w:szCs w:val="28"/>
        </w:rPr>
        <w:t xml:space="preserve"> [2]</w:t>
      </w:r>
      <w:r w:rsidR="00B700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70D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D0BD3" w:rsidRPr="005D0BD3" w:rsidRDefault="005D0BD3" w:rsidP="00B0600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</w:p>
    <w:p w:rsidR="005D0BD3" w:rsidRDefault="00B06005" w:rsidP="00B0600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0BD3">
        <w:rPr>
          <w:rFonts w:ascii="Times New Roman" w:hAnsi="Times New Roman" w:cs="Times New Roman"/>
          <w:bCs/>
          <w:sz w:val="20"/>
          <w:szCs w:val="20"/>
        </w:rPr>
        <w:t xml:space="preserve">[1] </w:t>
      </w:r>
      <w:r w:rsidR="00270DF8" w:rsidRPr="005D0BD3">
        <w:rPr>
          <w:rFonts w:ascii="Times New Roman" w:hAnsi="Times New Roman" w:cs="Times New Roman"/>
          <w:bCs/>
          <w:sz w:val="20"/>
          <w:szCs w:val="20"/>
        </w:rPr>
        <w:t>Guidelines on optimizing the use of proton pump inhibitor</w:t>
      </w:r>
      <w:r w:rsidRPr="005D0BD3">
        <w:rPr>
          <w:rFonts w:ascii="Times New Roman" w:hAnsi="Times New Roman" w:cs="Times New Roman"/>
          <w:bCs/>
          <w:sz w:val="20"/>
          <w:szCs w:val="20"/>
        </w:rPr>
        <w:t xml:space="preserve">s: PPI stewardship. Dutta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A.K.</w:t>
      </w:r>
      <w:proofErr w:type="gramStart"/>
      <w:r w:rsidRPr="005D0BD3">
        <w:rPr>
          <w:rFonts w:ascii="Times New Roman" w:hAnsi="Times New Roman" w:cs="Times New Roman"/>
          <w:bCs/>
          <w:sz w:val="20"/>
          <w:szCs w:val="20"/>
        </w:rPr>
        <w:t>,Jain</w:t>
      </w:r>
      <w:proofErr w:type="spellEnd"/>
      <w:proofErr w:type="gram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A.,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Jearth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V.,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MahajanR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., Reddy D.N.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Epub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2023 Sep 12 PMID: 37698821</w:t>
      </w:r>
    </w:p>
    <w:p w:rsidR="00852A2A" w:rsidRPr="005D0BD3" w:rsidRDefault="00852A2A" w:rsidP="00B0600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2A2A">
        <w:rPr>
          <w:rFonts w:ascii="Times New Roman" w:hAnsi="Times New Roman" w:cs="Times New Roman"/>
          <w:bCs/>
          <w:sz w:val="20"/>
          <w:szCs w:val="20"/>
        </w:rPr>
        <w:t>[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852A2A">
        <w:rPr>
          <w:rFonts w:ascii="Times New Roman" w:hAnsi="Times New Roman" w:cs="Times New Roman"/>
          <w:bCs/>
          <w:sz w:val="20"/>
          <w:szCs w:val="20"/>
        </w:rPr>
        <w:t xml:space="preserve">] Christopher Sawyer, </w:t>
      </w:r>
      <w:proofErr w:type="spellStart"/>
      <w:r w:rsidRPr="00852A2A">
        <w:rPr>
          <w:rFonts w:ascii="Times New Roman" w:hAnsi="Times New Roman" w:cs="Times New Roman"/>
          <w:bCs/>
          <w:sz w:val="20"/>
          <w:szCs w:val="20"/>
        </w:rPr>
        <w:t>Rinarani</w:t>
      </w:r>
      <w:proofErr w:type="spellEnd"/>
      <w:r w:rsidRPr="00852A2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52A2A">
        <w:rPr>
          <w:rFonts w:ascii="Times New Roman" w:hAnsi="Times New Roman" w:cs="Times New Roman"/>
          <w:bCs/>
          <w:sz w:val="20"/>
          <w:szCs w:val="20"/>
        </w:rPr>
        <w:t>Sanghavi</w:t>
      </w:r>
      <w:proofErr w:type="spellEnd"/>
      <w:r w:rsidRPr="00852A2A">
        <w:rPr>
          <w:rFonts w:ascii="Times New Roman" w:hAnsi="Times New Roman" w:cs="Times New Roman"/>
          <w:bCs/>
          <w:sz w:val="20"/>
          <w:szCs w:val="20"/>
        </w:rPr>
        <w:t xml:space="preserve">, Eric B </w:t>
      </w:r>
      <w:proofErr w:type="spellStart"/>
      <w:r w:rsidRPr="00852A2A">
        <w:rPr>
          <w:rFonts w:ascii="Times New Roman" w:hAnsi="Times New Roman" w:cs="Times New Roman"/>
          <w:bCs/>
          <w:sz w:val="20"/>
          <w:szCs w:val="20"/>
        </w:rPr>
        <w:t>Ortigoza</w:t>
      </w:r>
      <w:proofErr w:type="spellEnd"/>
      <w:r w:rsidRPr="00852A2A">
        <w:rPr>
          <w:rFonts w:ascii="Times New Roman" w:hAnsi="Times New Roman" w:cs="Times New Roman"/>
          <w:bCs/>
          <w:sz w:val="20"/>
          <w:szCs w:val="20"/>
        </w:rPr>
        <w:t>.  Neonatal gastroesophageal reflux.  2022 Aug</w:t>
      </w:r>
      <w:proofErr w:type="gramStart"/>
      <w:r w:rsidRPr="00852A2A">
        <w:rPr>
          <w:rFonts w:ascii="Times New Roman" w:hAnsi="Times New Roman" w:cs="Times New Roman"/>
          <w:bCs/>
          <w:sz w:val="20"/>
          <w:szCs w:val="20"/>
        </w:rPr>
        <w:t>:171:105600</w:t>
      </w:r>
      <w:proofErr w:type="gramEnd"/>
      <w:r w:rsidRPr="00852A2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Pr="00852A2A">
        <w:rPr>
          <w:rFonts w:ascii="Times New Roman" w:hAnsi="Times New Roman" w:cs="Times New Roman"/>
          <w:bCs/>
          <w:sz w:val="20"/>
          <w:szCs w:val="20"/>
        </w:rPr>
        <w:t>doi</w:t>
      </w:r>
      <w:proofErr w:type="spellEnd"/>
      <w:proofErr w:type="gramEnd"/>
      <w:r w:rsidRPr="00852A2A">
        <w:rPr>
          <w:rFonts w:ascii="Times New Roman" w:hAnsi="Times New Roman" w:cs="Times New Roman"/>
          <w:bCs/>
          <w:sz w:val="20"/>
          <w:szCs w:val="20"/>
        </w:rPr>
        <w:t xml:space="preserve">: 10.1016/j.earlhumdev.2022.105600. </w:t>
      </w:r>
      <w:proofErr w:type="spellStart"/>
      <w:r w:rsidRPr="00852A2A">
        <w:rPr>
          <w:rFonts w:ascii="Times New Roman" w:hAnsi="Times New Roman" w:cs="Times New Roman"/>
          <w:bCs/>
          <w:sz w:val="20"/>
          <w:szCs w:val="20"/>
        </w:rPr>
        <w:t>Epub</w:t>
      </w:r>
      <w:proofErr w:type="spellEnd"/>
      <w:r w:rsidRPr="00852A2A">
        <w:rPr>
          <w:rFonts w:ascii="Times New Roman" w:hAnsi="Times New Roman" w:cs="Times New Roman"/>
          <w:bCs/>
          <w:sz w:val="20"/>
          <w:szCs w:val="20"/>
        </w:rPr>
        <w:t xml:space="preserve"> 2022 Jun 10.</w:t>
      </w:r>
    </w:p>
    <w:p w:rsidR="005D0BD3" w:rsidRDefault="00B06005" w:rsidP="00E96D8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600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Езофагеальний</w:t>
      </w:r>
      <w:proofErr w:type="spellEnd"/>
      <w:r w:rsidRPr="00B060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імпеданс і </w:t>
      </w:r>
      <w:proofErr w:type="spellStart"/>
      <w:r w:rsidRPr="00B06005">
        <w:rPr>
          <w:rFonts w:ascii="Times New Roman" w:hAnsi="Times New Roman" w:cs="Times New Roman"/>
          <w:bCs/>
          <w:sz w:val="28"/>
          <w:szCs w:val="28"/>
          <w:lang w:val="uk-UA"/>
        </w:rPr>
        <w:t>pH</w:t>
      </w:r>
      <w:proofErr w:type="spellEnd"/>
      <w:r w:rsidRPr="00B06005">
        <w:rPr>
          <w:rFonts w:ascii="Times New Roman" w:hAnsi="Times New Roman" w:cs="Times New Roman"/>
          <w:bCs/>
          <w:sz w:val="28"/>
          <w:szCs w:val="28"/>
          <w:lang w:val="uk-UA"/>
        </w:rPr>
        <w:t>-імпеданс (вимірювання електричної провідності) у просвіті стравоходу впродовж 24 год дозволяють діагностувати ГЕРХ, але далеко не скрізь доступні.</w:t>
      </w:r>
      <w:r w:rsid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D80" w:rsidRDefault="00B7008C" w:rsidP="00E96D8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Згідно рекомендацій Американського коледжу гастроентерологів (AСG) п</w:t>
      </w:r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 класичних проявах ГЕРХ (печії та </w:t>
      </w:r>
      <w:proofErr w:type="spellStart"/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>регургітації</w:t>
      </w:r>
      <w:proofErr w:type="spellEnd"/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>) та відсутності будь-яких тривожних симптомів рекомендовано пройти пробний емпіричний курс лікування ІПП тривалістю 8 тижнів та кратністю прийому 1 р/день перед їдою (</w:t>
      </w:r>
      <w:r w:rsidRPr="00B7008C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сильна</w:t>
      </w:r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рекомендація, </w:t>
      </w:r>
      <w:r w:rsidRPr="00B7008C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помірна</w:t>
      </w:r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якість доказів). При зменшенні класичних симптомів ГЕРХ протягом пробного 8-тижневого курсу ІПП рекомендовано спробувати його припинити (</w:t>
      </w:r>
      <w:r w:rsidRPr="00E96D80">
        <w:rPr>
          <w:rFonts w:ascii="Times New Roman" w:hAnsi="Times New Roman" w:cs="Times New Roman"/>
          <w:bCs/>
          <w:i/>
          <w:sz w:val="28"/>
          <w:szCs w:val="28"/>
          <w:lang w:val="uk-UA"/>
        </w:rPr>
        <w:t>умовна</w:t>
      </w:r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рекомендація, </w:t>
      </w:r>
      <w:r w:rsidRPr="00E96D80">
        <w:rPr>
          <w:rFonts w:ascii="Times New Roman" w:hAnsi="Times New Roman" w:cs="Times New Roman"/>
          <w:bCs/>
          <w:i/>
          <w:sz w:val="28"/>
          <w:szCs w:val="28"/>
          <w:lang w:val="uk-UA"/>
        </w:rPr>
        <w:t>низька</w:t>
      </w:r>
      <w:r w:rsidRPr="00B70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якість доказів).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Питання, які сьогодні широко представлені до обговорення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ацієнтам із ГЕРХ і кислотними ускладненнями 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(наприклад, ерозивними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>езофагітами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пептичною стриктурою)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>рекомендований короткостроковий курс ІПП для загоєння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>та тривалий прийом – для контролю симптомів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п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>ацієнтам із неускладненою ГЕРХ, які реагують на короткостроковий курс ІПП,  доцільно згодом припинити їх прийом або зменшити дозу</w:t>
      </w:r>
      <w:r w:rsidR="00E96D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?!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E96D80" w:rsidRPr="005571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Пацієнти зі стравоходом </w:t>
      </w:r>
      <w:proofErr w:type="spellStart"/>
      <w:r w:rsidR="00E96D80" w:rsidRPr="0055714E">
        <w:rPr>
          <w:rFonts w:ascii="Times New Roman" w:hAnsi="Times New Roman" w:cs="Times New Roman"/>
          <w:bCs/>
          <w:sz w:val="28"/>
          <w:szCs w:val="28"/>
          <w:lang w:val="uk-UA"/>
        </w:rPr>
        <w:t>Барретта</w:t>
      </w:r>
      <w:proofErr w:type="spellEnd"/>
      <w:r w:rsidR="00E96D80" w:rsidRPr="005571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симптоматичною 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ГЕРХ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повинні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проходити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тривалі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курси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терапії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</w:t>
      </w:r>
      <w:r w:rsid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Безсимптомним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пацієнтам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зі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стравоходом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Барретта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слід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розглянути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можливість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тривалого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застосування</w:t>
      </w:r>
      <w:proofErr w:type="spellEnd"/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</w:t>
      </w:r>
      <w:r w:rsidR="00852A2A" w:rsidRPr="00852A2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[3]</w:t>
      </w:r>
      <w:r w:rsidR="00E96D80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D0BD3" w:rsidRDefault="00E96D80" w:rsidP="00E96D8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Діагностика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гастритів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виразкової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хвороби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ндоскопі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морфо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логічною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оцінкою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біоптатів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іагностик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изначення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кислотоутворювальної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кислотонейтралізуючої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функції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внутрішньошлункова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рН-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метрія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підозрі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стеноз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пілоричного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ентгенологічний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метод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контрастуванням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D0BD3" w:rsidRPr="005D0BD3" w:rsidRDefault="005D0BD3" w:rsidP="005D0B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</w:t>
      </w:r>
    </w:p>
    <w:p w:rsidR="005D0BD3" w:rsidRPr="005D0BD3" w:rsidRDefault="005D0BD3" w:rsidP="005D0BD3">
      <w:pPr>
        <w:rPr>
          <w:rFonts w:ascii="Times New Roman" w:hAnsi="Times New Roman" w:cs="Times New Roman"/>
          <w:bCs/>
          <w:sz w:val="20"/>
          <w:szCs w:val="20"/>
        </w:rPr>
      </w:pPr>
      <w:r w:rsidRPr="005D0BD3">
        <w:rPr>
          <w:rFonts w:ascii="Times New Roman" w:hAnsi="Times New Roman" w:cs="Times New Roman"/>
          <w:bCs/>
          <w:sz w:val="20"/>
          <w:szCs w:val="20"/>
        </w:rPr>
        <w:t>[</w:t>
      </w:r>
      <w:r w:rsidR="00852A2A">
        <w:rPr>
          <w:rFonts w:ascii="Times New Roman" w:hAnsi="Times New Roman" w:cs="Times New Roman"/>
          <w:bCs/>
          <w:sz w:val="20"/>
          <w:szCs w:val="20"/>
        </w:rPr>
        <w:t>3</w:t>
      </w:r>
      <w:r w:rsidRPr="005D0BD3">
        <w:rPr>
          <w:rFonts w:ascii="Times New Roman" w:hAnsi="Times New Roman" w:cs="Times New Roman"/>
          <w:bCs/>
          <w:sz w:val="20"/>
          <w:szCs w:val="20"/>
        </w:rPr>
        <w:t xml:space="preserve">] Proton pump inhibitors: from CYP2C19 pharmacogenetics to precision medicine. El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Rouby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N, Lima JJ, Johnson JA. Expert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Opin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Drug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Metab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Toxicol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>. 2018 Apr</w:t>
      </w:r>
      <w:proofErr w:type="gramStart"/>
      <w:r w:rsidRPr="005D0BD3">
        <w:rPr>
          <w:rFonts w:ascii="Times New Roman" w:hAnsi="Times New Roman" w:cs="Times New Roman"/>
          <w:bCs/>
          <w:sz w:val="20"/>
          <w:szCs w:val="20"/>
        </w:rPr>
        <w:t>;14</w:t>
      </w:r>
      <w:proofErr w:type="gram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(4):447-460. </w:t>
      </w:r>
      <w:proofErr w:type="spellStart"/>
      <w:proofErr w:type="gramStart"/>
      <w:r w:rsidRPr="005D0BD3">
        <w:rPr>
          <w:rFonts w:ascii="Times New Roman" w:hAnsi="Times New Roman" w:cs="Times New Roman"/>
          <w:bCs/>
          <w:sz w:val="20"/>
          <w:szCs w:val="20"/>
        </w:rPr>
        <w:t>doi</w:t>
      </w:r>
      <w:proofErr w:type="spellEnd"/>
      <w:proofErr w:type="gram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: 10.1080/17425255.2018.1461835. </w:t>
      </w:r>
      <w:proofErr w:type="spellStart"/>
      <w:r w:rsidRPr="005D0BD3">
        <w:rPr>
          <w:rFonts w:ascii="Times New Roman" w:hAnsi="Times New Roman" w:cs="Times New Roman"/>
          <w:bCs/>
          <w:sz w:val="20"/>
          <w:szCs w:val="20"/>
        </w:rPr>
        <w:t>Epub</w:t>
      </w:r>
      <w:proofErr w:type="spellEnd"/>
      <w:r w:rsidRPr="005D0BD3">
        <w:rPr>
          <w:rFonts w:ascii="Times New Roman" w:hAnsi="Times New Roman" w:cs="Times New Roman"/>
          <w:bCs/>
          <w:sz w:val="20"/>
          <w:szCs w:val="20"/>
        </w:rPr>
        <w:t xml:space="preserve"> 2018 Apr 12.</w:t>
      </w:r>
    </w:p>
    <w:p w:rsidR="00E96D80" w:rsidRDefault="00E96D80" w:rsidP="00E96D8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D0BD3">
        <w:rPr>
          <w:rFonts w:ascii="Times New Roman" w:hAnsi="Times New Roman" w:cs="Times New Roman"/>
          <w:bCs/>
          <w:i/>
          <w:sz w:val="28"/>
          <w:szCs w:val="28"/>
        </w:rPr>
        <w:lastRenderedPageBreak/>
        <w:t>H. pylori-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асоційований</w:t>
      </w:r>
      <w:proofErr w:type="spellEnd"/>
      <w:r w:rsidRPr="005D0BD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гастрит</w:t>
      </w:r>
      <w:r w:rsidRPr="005D0BD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інфекційне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захворювання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незалежно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наявності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відсутності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симптомів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</w:t>
      </w:r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ускладнень</w:t>
      </w:r>
      <w:proofErr w:type="spellEnd"/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таких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як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виразка</w:t>
      </w:r>
      <w:proofErr w:type="spellEnd"/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та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дванадцятипалої</w:t>
      </w:r>
      <w:proofErr w:type="spellEnd"/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кишки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рак</w:t>
      </w:r>
      <w:r w:rsidR="00232CBB"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рівень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рекомендації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E96D80">
        <w:rPr>
          <w:rFonts w:ascii="Times New Roman" w:hAnsi="Times New Roman" w:cs="Times New Roman"/>
          <w:bCs/>
          <w:i/>
          <w:sz w:val="28"/>
          <w:szCs w:val="28"/>
          <w:lang w:val="ru-RU"/>
        </w:rPr>
        <w:t>сильний</w:t>
      </w:r>
      <w:proofErr w:type="spellEnd"/>
      <w:r w:rsidRPr="005D0BD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рівень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доведеності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E96D80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високий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рівень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узгодженості</w:t>
      </w:r>
      <w:proofErr w:type="spellEnd"/>
      <w:r w:rsidRPr="005D0BD3">
        <w:rPr>
          <w:rFonts w:ascii="Times New Roman" w:hAnsi="Times New Roman" w:cs="Times New Roman"/>
          <w:bCs/>
          <w:sz w:val="28"/>
          <w:szCs w:val="28"/>
        </w:rPr>
        <w:t xml:space="preserve"> — 100%).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роведення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ерадикаційної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терапії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подальшим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запобіганням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тяжким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ускладненням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до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повного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виліковування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Вважають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ерадикація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інфекції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сприяти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повному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відновленню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слизової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оболонки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зменшенню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вираженості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усуненню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диспептичних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симптомів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зазвичай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виліковуванню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виразки</w:t>
      </w:r>
      <w:proofErr w:type="spellEnd"/>
      <w:r w:rsidRPr="00E96D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>підтверджено</w:t>
      </w:r>
      <w:proofErr w:type="spellEnd"/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Маастрихтському</w:t>
      </w:r>
      <w:proofErr w:type="spellEnd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консенсусі</w:t>
      </w:r>
      <w:proofErr w:type="spellEnd"/>
      <w:r w:rsidR="00232CBB" w:rsidRPr="00E96D8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232CBB" w:rsidRDefault="00232CBB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H.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pylori-асоційований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хронічний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атрофічний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гастрит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становить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особливу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небезпеку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оскільки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передраковим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станом (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ендоскопічна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картина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звичайного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вогнищевого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гастриту, стану,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який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зазвичай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розумінні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пацієнтів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становить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особливої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небезпеки</w:t>
      </w:r>
      <w:proofErr w:type="spellEnd"/>
      <w:proofErr w:type="gram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),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атрофічного</w:t>
      </w:r>
      <w:proofErr w:type="spellEnd"/>
      <w:proofErr w:type="gram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гастриту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в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подальшому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перснеподібного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раку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Розрізняють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утоімунний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метапластичний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атрофічний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гастрит (АМАГ)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ультифокальний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атрофічний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гастрит (ЕМАГ)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32CBB" w:rsidRPr="00232CBB" w:rsidRDefault="00232CBB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Аутоімунний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метапластичний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атрофічний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гастрит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(АМАГ) – гастрит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переважно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тіла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має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зв’язок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порушеннями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певних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генах та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призвести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розвитку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нейроендокринних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пухлин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аденокарциноми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Мультифокальний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>атрофічний</w:t>
      </w:r>
      <w:proofErr w:type="spellEnd"/>
      <w:r w:rsidRPr="00232CB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гастрит</w:t>
      </w: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(ЕМАГ).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асоційований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H.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впливом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факторів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зовнішнього</w:t>
      </w:r>
      <w:proofErr w:type="spellEnd"/>
      <w:proofErr w:type="gram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середовища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харчуванням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D0BD3" w:rsidRDefault="00E96D80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uk-UA"/>
        </w:rPr>
        <w:t>Епідеміологія гастритів, асоційованих з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32CBB" w:rsidRPr="00232CBB">
        <w:rPr>
          <w:rFonts w:ascii="Times New Roman" w:hAnsi="Times New Roman" w:cs="Times New Roman"/>
          <w:bCs/>
          <w:sz w:val="28"/>
          <w:szCs w:val="28"/>
        </w:rPr>
        <w:t>Helicobacter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32CBB" w:rsidRPr="00232CBB">
        <w:rPr>
          <w:rFonts w:ascii="Times New Roman" w:hAnsi="Times New Roman" w:cs="Times New Roman"/>
          <w:bCs/>
          <w:sz w:val="28"/>
          <w:szCs w:val="28"/>
        </w:rPr>
        <w:t>pylori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вказує на зростання частоти.</w:t>
      </w:r>
      <w:r w:rsidR="00232C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Проте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менша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поширеність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інфекції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серед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молодих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поколінь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свідчить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подальше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зниження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поширеності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найближчі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десятиліття</w:t>
      </w:r>
      <w:proofErr w:type="spellEnd"/>
      <w:r w:rsidR="005D0BD3" w:rsidRPr="005D0B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852A2A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5D0BD3" w:rsidRPr="005D0BD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5D0BD3" w:rsidRPr="00852A2A" w:rsidRDefault="005D0BD3" w:rsidP="005D0B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2A2A">
        <w:rPr>
          <w:rFonts w:ascii="Times New Roman" w:hAnsi="Times New Roman" w:cs="Times New Roman"/>
          <w:bCs/>
          <w:sz w:val="28"/>
          <w:szCs w:val="28"/>
          <w:lang w:val="ru-RU"/>
        </w:rPr>
        <w:t>______________________________________________________</w:t>
      </w:r>
    </w:p>
    <w:p w:rsidR="005D0BD3" w:rsidRPr="005D0BD3" w:rsidRDefault="005D0BD3" w:rsidP="005D0BD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0BD3">
        <w:rPr>
          <w:rFonts w:ascii="Times New Roman" w:hAnsi="Times New Roman" w:cs="Times New Roman"/>
          <w:bCs/>
          <w:sz w:val="20"/>
          <w:szCs w:val="20"/>
          <w:lang w:val="ru-RU"/>
        </w:rPr>
        <w:t>[</w:t>
      </w:r>
      <w:r w:rsidR="00852A2A" w:rsidRPr="00852A2A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5D0BD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] </w:t>
      </w:r>
      <w:hyperlink r:id="rId5" w:history="1">
        <w:r w:rsidRPr="005D0BD3">
          <w:rPr>
            <w:rStyle w:val="a3"/>
            <w:rFonts w:ascii="Times New Roman" w:hAnsi="Times New Roman" w:cs="Times New Roman"/>
            <w:bCs/>
            <w:sz w:val="20"/>
            <w:szCs w:val="20"/>
            <w:lang w:val="ru-RU"/>
          </w:rPr>
          <w:t>www.umj.com.ua/uk/publikatsia-111355-standarti-diagnostiki-ta-likuvannya-kislotozalezhnih-i-helicobacter-pylori-asotsijovanih-zahvoryuvan</w:t>
        </w:r>
      </w:hyperlink>
    </w:p>
    <w:p w:rsidR="00232CBB" w:rsidRDefault="005D0BD3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Підтверджено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низькі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соціально-економічні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умови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дитинстві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найважливішими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факторами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ризику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інфікування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Незважаючи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шлях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передачі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інфекції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досі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невідомий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основним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шляхом </w:t>
      </w:r>
      <w:proofErr w:type="spellStart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передачі</w:t>
      </w:r>
      <w:proofErr w:type="spellEnd"/>
      <w:r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міжособистісний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шлях.</w:t>
      </w:r>
      <w:r w:rsid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</w:t>
      </w:r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ецидив H.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після</w:t>
      </w:r>
      <w:proofErr w:type="spellEnd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32CBB" w:rsidRPr="00232CBB">
        <w:rPr>
          <w:rFonts w:ascii="Times New Roman" w:hAnsi="Times New Roman" w:cs="Times New Roman"/>
          <w:bCs/>
          <w:sz w:val="28"/>
          <w:szCs w:val="28"/>
          <w:lang w:val="ru-RU"/>
        </w:rPr>
        <w:t>успішної</w:t>
      </w:r>
      <w:proofErr w:type="spellEnd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>ерадикації</w:t>
      </w:r>
      <w:proofErr w:type="spellEnd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все </w:t>
      </w:r>
      <w:proofErr w:type="spellStart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>ще</w:t>
      </w:r>
      <w:proofErr w:type="spellEnd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>статися</w:t>
      </w:r>
      <w:proofErr w:type="spellEnd"/>
      <w:r w:rsidR="00E40DE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40DE3" w:rsidRPr="00E40DE3" w:rsidRDefault="00E40DE3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Роль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інгібіторів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протонної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помпи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0137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5, </w:t>
      </w:r>
      <w:r>
        <w:rPr>
          <w:rFonts w:ascii="Times New Roman" w:hAnsi="Times New Roman" w:cs="Times New Roman"/>
          <w:bCs/>
          <w:sz w:val="28"/>
          <w:szCs w:val="28"/>
        </w:rPr>
        <w:t>6]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функціонують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зменшення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секреції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кислоти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шлунку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Проксимальний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відділ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тонкої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кишки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поглинає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ці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ліки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і,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потрапляючи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циркуляцію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вони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впливають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парієтальні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клітини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шлунка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Парієтальні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клітини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містять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фермент </w:t>
      </w:r>
      <w:r w:rsidRPr="00E40DE3">
        <w:rPr>
          <w:rFonts w:ascii="Times New Roman" w:hAnsi="Times New Roman" w:cs="Times New Roman"/>
          <w:bCs/>
          <w:sz w:val="28"/>
          <w:szCs w:val="28"/>
        </w:rPr>
        <w:t>H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+/</w:t>
      </w:r>
      <w:r w:rsidRPr="00E40DE3">
        <w:rPr>
          <w:rFonts w:ascii="Times New Roman" w:hAnsi="Times New Roman" w:cs="Times New Roman"/>
          <w:bCs/>
          <w:sz w:val="28"/>
          <w:szCs w:val="28"/>
        </w:rPr>
        <w:t>K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+ АТФ-азу,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протонний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насос,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який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блокують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ІПП. 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ІПП є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проліками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які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активуються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лише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після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кислотно-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каталізованого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розщеплення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кислих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секреторних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канальцях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парієтальних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клітин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Печінкові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ферменти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40DE3">
        <w:rPr>
          <w:rFonts w:ascii="Times New Roman" w:hAnsi="Times New Roman" w:cs="Times New Roman"/>
          <w:bCs/>
          <w:sz w:val="28"/>
          <w:szCs w:val="28"/>
        </w:rPr>
        <w:t>P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450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розщеплюють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під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дією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40DE3">
        <w:rPr>
          <w:rFonts w:ascii="Times New Roman" w:hAnsi="Times New Roman" w:cs="Times New Roman"/>
          <w:bCs/>
          <w:sz w:val="28"/>
          <w:szCs w:val="28"/>
        </w:rPr>
        <w:t>CYP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E40DE3">
        <w:rPr>
          <w:rFonts w:ascii="Times New Roman" w:hAnsi="Times New Roman" w:cs="Times New Roman"/>
          <w:bCs/>
          <w:sz w:val="28"/>
          <w:szCs w:val="28"/>
        </w:rPr>
        <w:t>C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19.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Потужна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кислотоінгібіція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розглядається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як один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можливих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шляхів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подолання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резистентності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забезпечують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стабільність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підвищують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тривалість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антибактеріальних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препаратів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творюють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сприятливі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умови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для переходу</w:t>
      </w:r>
      <w:proofErr w:type="gram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H.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стадію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поділу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коли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мікроорганізм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найбільш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чутливий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антибіотиків</w:t>
      </w:r>
      <w:proofErr w:type="spellEnd"/>
    </w:p>
    <w:p w:rsidR="00B60719" w:rsidRPr="00B60719" w:rsidRDefault="00E40DE3" w:rsidP="007B3C1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ШПП </w:t>
      </w:r>
      <w:proofErr w:type="spellStart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>зменшують</w:t>
      </w:r>
      <w:proofErr w:type="spellEnd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>загальний</w:t>
      </w:r>
      <w:proofErr w:type="spellEnd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>об’єм</w:t>
      </w:r>
      <w:proofErr w:type="spellEnd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секрету в </w:t>
      </w:r>
      <w:proofErr w:type="spellStart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>шлунку</w:t>
      </w:r>
      <w:proofErr w:type="spellEnd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за </w:t>
      </w:r>
      <w:proofErr w:type="spellStart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>рахунок</w:t>
      </w:r>
      <w:proofErr w:type="spellEnd"/>
      <w:r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60719" w:rsidRPr="00B607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_____________________________________________________ </w:t>
      </w:r>
    </w:p>
    <w:p w:rsidR="00B60719" w:rsidRPr="0055714E" w:rsidRDefault="00B60719" w:rsidP="00B60719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0719">
        <w:rPr>
          <w:rFonts w:ascii="Times New Roman" w:hAnsi="Times New Roman" w:cs="Times New Roman"/>
          <w:bCs/>
          <w:sz w:val="20"/>
          <w:szCs w:val="20"/>
        </w:rPr>
        <w:t xml:space="preserve">[5] Du LJ, Chen BR, Kim JJ, Kim S, Shen JH, Dai N. Helicobacter pylori eradication therapy for functional dyspepsia: Systematic review and meta-analysis. </w:t>
      </w:r>
      <w:r w:rsidRPr="0055714E">
        <w:rPr>
          <w:rFonts w:ascii="Times New Roman" w:hAnsi="Times New Roman" w:cs="Times New Roman"/>
          <w:bCs/>
          <w:sz w:val="20"/>
          <w:szCs w:val="20"/>
        </w:rPr>
        <w:t xml:space="preserve">World J </w:t>
      </w:r>
      <w:proofErr w:type="spellStart"/>
      <w:r w:rsidRPr="0055714E">
        <w:rPr>
          <w:rFonts w:ascii="Times New Roman" w:hAnsi="Times New Roman" w:cs="Times New Roman"/>
          <w:bCs/>
          <w:sz w:val="20"/>
          <w:szCs w:val="20"/>
        </w:rPr>
        <w:t>Gastroenterol</w:t>
      </w:r>
      <w:proofErr w:type="spellEnd"/>
      <w:r w:rsidRPr="0055714E">
        <w:rPr>
          <w:rFonts w:ascii="Times New Roman" w:hAnsi="Times New Roman" w:cs="Times New Roman"/>
          <w:bCs/>
          <w:sz w:val="20"/>
          <w:szCs w:val="20"/>
        </w:rPr>
        <w:t xml:space="preserve">. 2016 </w:t>
      </w:r>
    </w:p>
    <w:p w:rsidR="00B60719" w:rsidRPr="00B60719" w:rsidRDefault="00B60719" w:rsidP="00B60719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60719">
        <w:rPr>
          <w:rFonts w:ascii="Times New Roman" w:hAnsi="Times New Roman" w:cs="Times New Roman"/>
          <w:bCs/>
          <w:sz w:val="20"/>
          <w:szCs w:val="20"/>
        </w:rPr>
        <w:t xml:space="preserve">[6] Proton pump </w:t>
      </w:r>
      <w:proofErr w:type="spellStart"/>
      <w:r w:rsidRPr="00B60719">
        <w:rPr>
          <w:rFonts w:ascii="Times New Roman" w:hAnsi="Times New Roman" w:cs="Times New Roman"/>
          <w:bCs/>
          <w:sz w:val="20"/>
          <w:szCs w:val="20"/>
        </w:rPr>
        <w:t>inhibitors.Jenkins</w:t>
      </w:r>
      <w:proofErr w:type="spellEnd"/>
      <w:r w:rsidRPr="00B60719">
        <w:rPr>
          <w:rFonts w:ascii="Times New Roman" w:hAnsi="Times New Roman" w:cs="Times New Roman"/>
          <w:bCs/>
          <w:sz w:val="20"/>
          <w:szCs w:val="20"/>
        </w:rPr>
        <w:t xml:space="preserve"> D, </w:t>
      </w:r>
      <w:proofErr w:type="spellStart"/>
      <w:r w:rsidRPr="00B60719">
        <w:rPr>
          <w:rFonts w:ascii="Times New Roman" w:hAnsi="Times New Roman" w:cs="Times New Roman"/>
          <w:bCs/>
          <w:sz w:val="20"/>
          <w:szCs w:val="20"/>
        </w:rPr>
        <w:t>Modolell</w:t>
      </w:r>
      <w:proofErr w:type="spellEnd"/>
      <w:r w:rsidRPr="00B60719">
        <w:rPr>
          <w:rFonts w:ascii="Times New Roman" w:hAnsi="Times New Roman" w:cs="Times New Roman"/>
          <w:bCs/>
          <w:sz w:val="20"/>
          <w:szCs w:val="20"/>
        </w:rPr>
        <w:t xml:space="preserve"> I. BMJ. 2023 Nov 13</w:t>
      </w:r>
      <w:proofErr w:type="gramStart"/>
      <w:r w:rsidRPr="00B60719">
        <w:rPr>
          <w:rFonts w:ascii="Times New Roman" w:hAnsi="Times New Roman" w:cs="Times New Roman"/>
          <w:bCs/>
          <w:sz w:val="20"/>
          <w:szCs w:val="20"/>
        </w:rPr>
        <w:t>;383:e070752</w:t>
      </w:r>
      <w:proofErr w:type="gramEnd"/>
      <w:r w:rsidRPr="00B60719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proofErr w:type="gramStart"/>
      <w:r w:rsidRPr="00B60719">
        <w:rPr>
          <w:rFonts w:ascii="Times New Roman" w:hAnsi="Times New Roman" w:cs="Times New Roman"/>
          <w:bCs/>
          <w:sz w:val="20"/>
          <w:szCs w:val="20"/>
        </w:rPr>
        <w:t>doi</w:t>
      </w:r>
      <w:proofErr w:type="spellEnd"/>
      <w:proofErr w:type="gramEnd"/>
      <w:r w:rsidRPr="00B60719">
        <w:rPr>
          <w:rFonts w:ascii="Times New Roman" w:hAnsi="Times New Roman" w:cs="Times New Roman"/>
          <w:bCs/>
          <w:sz w:val="20"/>
          <w:szCs w:val="20"/>
        </w:rPr>
        <w:t xml:space="preserve">: 10.1136/bmj-2022-070752. </w:t>
      </w:r>
      <w:r w:rsidRPr="00B60719">
        <w:rPr>
          <w:rFonts w:ascii="Times New Roman" w:hAnsi="Times New Roman" w:cs="Times New Roman"/>
          <w:bCs/>
          <w:sz w:val="20"/>
          <w:szCs w:val="20"/>
          <w:lang w:val="ru-RU"/>
        </w:rPr>
        <w:t>PMID: 37957000</w:t>
      </w:r>
    </w:p>
    <w:p w:rsidR="00B60719" w:rsidRDefault="00B60719" w:rsidP="00B60719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чого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підвищується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концентрація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антибіотиків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шлунковому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соці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зменшується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товщина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слизу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поверхні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епітелію</w:t>
      </w:r>
      <w:proofErr w:type="spellEnd"/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Підвищення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рівня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рН ≥6 переводить H.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pylori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реплікативну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стадію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рахунок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чого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збільшується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його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чутливість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амоксициліну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кларитроміцину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40DE3" w:rsidRPr="00E40DE3" w:rsidRDefault="00E40DE3" w:rsidP="00E40DE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Застосування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 у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вищих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дозах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 рази на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добу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ще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більше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потенціює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чутливість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мікроба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антибіотиків</w:t>
      </w:r>
      <w:proofErr w:type="spellEnd"/>
    </w:p>
    <w:p w:rsidR="009E499A" w:rsidRDefault="00E40DE3" w:rsidP="00E40D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Розуміння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метаболізму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дозволяє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нам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зрозуміти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чому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деякі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ефективніші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одних людей,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ніж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інших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наприклад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люди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азіатської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національності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мають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підвищену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біодоступність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ІПП, тому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їм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слід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спочатку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призначати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менші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дози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З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віком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біодоступність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ІПП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зростає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тому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дозування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людей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похилого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віку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також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слід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ретельно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контролювати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відповідно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коригувати</w:t>
      </w:r>
      <w:proofErr w:type="spellEnd"/>
      <w:r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E40DE3" w:rsidRDefault="009E499A" w:rsidP="00E40D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Таким чином,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оча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інші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препарати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можуть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зменшити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секрецію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кислоти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шлунку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ІПП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залишаються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найпотужнішими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препаратами для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зниження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кислотності</w:t>
      </w:r>
      <w:proofErr w:type="spellEnd"/>
      <w:r w:rsidR="00E40DE3" w:rsidRPr="00E40DE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Дозу ІПП при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довгостроковій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терапії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треба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періодично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переглядати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щоб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встановити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найнижчу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>ефективну</w:t>
      </w:r>
      <w:proofErr w:type="spellEnd"/>
      <w:r w:rsidR="006854F8" w:rsidRPr="006854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дозу ІПП.</w:t>
      </w:r>
    </w:p>
    <w:p w:rsidR="0055714E" w:rsidRDefault="0055714E" w:rsidP="00E40D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5714E" w:rsidRPr="0055714E" w:rsidRDefault="0055714E" w:rsidP="00E40D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ОПУБЛІКОВАНО</w:t>
      </w:r>
    </w:p>
    <w:p w:rsidR="0055714E" w:rsidRPr="001114AB" w:rsidRDefault="0055714E" w:rsidP="0055714E">
      <w:pPr>
        <w:pStyle w:val="xfmc1"/>
        <w:jc w:val="both"/>
        <w:rPr>
          <w:bCs/>
          <w:sz w:val="20"/>
          <w:szCs w:val="20"/>
          <w:lang w:val="uk-UA"/>
        </w:rPr>
      </w:pPr>
      <w:proofErr w:type="spellStart"/>
      <w:r w:rsidRPr="001114AB">
        <w:rPr>
          <w:bCs/>
          <w:sz w:val="20"/>
          <w:szCs w:val="20"/>
          <w:lang w:val="uk-UA"/>
        </w:rPr>
        <w:t>Education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and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science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in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Ukraine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in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the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period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of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today's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global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challenges</w:t>
      </w:r>
      <w:proofErr w:type="spellEnd"/>
      <w:r w:rsidRPr="001114AB">
        <w:rPr>
          <w:bCs/>
          <w:sz w:val="20"/>
          <w:szCs w:val="20"/>
          <w:lang w:val="uk-UA"/>
        </w:rPr>
        <w:t xml:space="preserve"> : </w:t>
      </w:r>
      <w:proofErr w:type="spellStart"/>
      <w:r w:rsidRPr="001114AB">
        <w:rPr>
          <w:bCs/>
          <w:sz w:val="20"/>
          <w:szCs w:val="20"/>
          <w:lang w:val="uk-UA"/>
        </w:rPr>
        <w:t>collective</w:t>
      </w:r>
      <w:proofErr w:type="spellEnd"/>
    </w:p>
    <w:p w:rsidR="0055714E" w:rsidRPr="001114AB" w:rsidRDefault="0055714E" w:rsidP="0055714E">
      <w:pPr>
        <w:pStyle w:val="xfmc1"/>
        <w:jc w:val="both"/>
        <w:rPr>
          <w:bCs/>
          <w:sz w:val="20"/>
          <w:szCs w:val="20"/>
          <w:lang w:val="uk-UA"/>
        </w:rPr>
      </w:pPr>
      <w:proofErr w:type="spellStart"/>
      <w:r w:rsidRPr="001114AB">
        <w:rPr>
          <w:bCs/>
          <w:sz w:val="20"/>
          <w:szCs w:val="20"/>
          <w:lang w:val="uk-UA"/>
        </w:rPr>
        <w:t>monograph</w:t>
      </w:r>
      <w:proofErr w:type="spellEnd"/>
      <w:r w:rsidRPr="001114AB">
        <w:rPr>
          <w:bCs/>
          <w:sz w:val="20"/>
          <w:szCs w:val="20"/>
          <w:lang w:val="uk-UA"/>
        </w:rPr>
        <w:t xml:space="preserve"> / </w:t>
      </w:r>
      <w:proofErr w:type="spellStart"/>
      <w:r w:rsidRPr="001114AB">
        <w:rPr>
          <w:bCs/>
          <w:sz w:val="20"/>
          <w:szCs w:val="20"/>
          <w:lang w:val="uk-UA"/>
        </w:rPr>
        <w:t>Compiled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by</w:t>
      </w:r>
      <w:proofErr w:type="spellEnd"/>
      <w:r w:rsidRPr="001114AB">
        <w:rPr>
          <w:bCs/>
          <w:sz w:val="20"/>
          <w:szCs w:val="20"/>
          <w:lang w:val="uk-UA"/>
        </w:rPr>
        <w:t xml:space="preserve"> V. </w:t>
      </w:r>
      <w:proofErr w:type="spellStart"/>
      <w:r w:rsidRPr="001114AB">
        <w:rPr>
          <w:bCs/>
          <w:sz w:val="20"/>
          <w:szCs w:val="20"/>
          <w:lang w:val="uk-UA"/>
        </w:rPr>
        <w:t>Shpak</w:t>
      </w:r>
      <w:proofErr w:type="spellEnd"/>
      <w:r w:rsidRPr="001114AB">
        <w:rPr>
          <w:bCs/>
          <w:sz w:val="20"/>
          <w:szCs w:val="20"/>
          <w:lang w:val="uk-UA"/>
        </w:rPr>
        <w:t xml:space="preserve">; </w:t>
      </w:r>
      <w:proofErr w:type="spellStart"/>
      <w:r w:rsidRPr="001114AB">
        <w:rPr>
          <w:bCs/>
          <w:sz w:val="20"/>
          <w:szCs w:val="20"/>
          <w:lang w:val="uk-UA"/>
        </w:rPr>
        <w:t>Chairman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of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the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Editorial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Board</w:t>
      </w:r>
      <w:proofErr w:type="spellEnd"/>
      <w:r w:rsidRPr="001114AB">
        <w:rPr>
          <w:bCs/>
          <w:sz w:val="20"/>
          <w:szCs w:val="20"/>
          <w:lang w:val="uk-UA"/>
        </w:rPr>
        <w:t xml:space="preserve"> S. </w:t>
      </w:r>
      <w:proofErr w:type="spellStart"/>
      <w:r w:rsidRPr="001114AB">
        <w:rPr>
          <w:bCs/>
          <w:sz w:val="20"/>
          <w:szCs w:val="20"/>
          <w:lang w:val="uk-UA"/>
        </w:rPr>
        <w:t>Tabachnikov</w:t>
      </w:r>
      <w:proofErr w:type="spellEnd"/>
      <w:r w:rsidRPr="001114AB">
        <w:rPr>
          <w:bCs/>
          <w:sz w:val="20"/>
          <w:szCs w:val="20"/>
          <w:lang w:val="uk-UA"/>
        </w:rPr>
        <w:t xml:space="preserve">. </w:t>
      </w:r>
      <w:proofErr w:type="spellStart"/>
      <w:r w:rsidRPr="001114AB">
        <w:rPr>
          <w:bCs/>
          <w:sz w:val="20"/>
          <w:szCs w:val="20"/>
          <w:lang w:val="uk-UA"/>
        </w:rPr>
        <w:t>Sherman</w:t>
      </w:r>
      <w:proofErr w:type="spellEnd"/>
    </w:p>
    <w:p w:rsidR="0055714E" w:rsidRDefault="0055714E" w:rsidP="0055714E">
      <w:pPr>
        <w:pStyle w:val="xfmc1"/>
        <w:jc w:val="both"/>
        <w:rPr>
          <w:bCs/>
          <w:sz w:val="20"/>
          <w:szCs w:val="20"/>
          <w:lang w:val="uk-UA"/>
        </w:rPr>
      </w:pPr>
      <w:proofErr w:type="spellStart"/>
      <w:r w:rsidRPr="001114AB">
        <w:rPr>
          <w:bCs/>
          <w:sz w:val="20"/>
          <w:szCs w:val="20"/>
          <w:lang w:val="uk-UA"/>
        </w:rPr>
        <w:t>Oaks</w:t>
      </w:r>
      <w:proofErr w:type="spellEnd"/>
      <w:r w:rsidRPr="001114AB">
        <w:rPr>
          <w:bCs/>
          <w:sz w:val="20"/>
          <w:szCs w:val="20"/>
          <w:lang w:val="uk-UA"/>
        </w:rPr>
        <w:t xml:space="preserve">, </w:t>
      </w:r>
      <w:proofErr w:type="spellStart"/>
      <w:r w:rsidRPr="001114AB">
        <w:rPr>
          <w:bCs/>
          <w:sz w:val="20"/>
          <w:szCs w:val="20"/>
          <w:lang w:val="uk-UA"/>
        </w:rPr>
        <w:t>California</w:t>
      </w:r>
      <w:proofErr w:type="spellEnd"/>
      <w:r w:rsidRPr="001114AB">
        <w:rPr>
          <w:bCs/>
          <w:sz w:val="20"/>
          <w:szCs w:val="20"/>
          <w:lang w:val="uk-UA"/>
        </w:rPr>
        <w:t xml:space="preserve"> : GS </w:t>
      </w:r>
      <w:proofErr w:type="spellStart"/>
      <w:r w:rsidRPr="001114AB">
        <w:rPr>
          <w:bCs/>
          <w:sz w:val="20"/>
          <w:szCs w:val="20"/>
          <w:lang w:val="uk-UA"/>
        </w:rPr>
        <w:t>Publishing</w:t>
      </w:r>
      <w:proofErr w:type="spellEnd"/>
      <w:r w:rsidRPr="001114AB">
        <w:rPr>
          <w:bCs/>
          <w:sz w:val="20"/>
          <w:szCs w:val="20"/>
          <w:lang w:val="uk-UA"/>
        </w:rPr>
        <w:t xml:space="preserve"> </w:t>
      </w:r>
      <w:proofErr w:type="spellStart"/>
      <w:r w:rsidRPr="001114AB">
        <w:rPr>
          <w:bCs/>
          <w:sz w:val="20"/>
          <w:szCs w:val="20"/>
          <w:lang w:val="uk-UA"/>
        </w:rPr>
        <w:t>Services</w:t>
      </w:r>
      <w:proofErr w:type="spellEnd"/>
      <w:r w:rsidRPr="001114AB">
        <w:rPr>
          <w:bCs/>
          <w:sz w:val="20"/>
          <w:szCs w:val="20"/>
          <w:lang w:val="uk-UA"/>
        </w:rPr>
        <w:t>, 202</w:t>
      </w:r>
      <w:r>
        <w:rPr>
          <w:bCs/>
          <w:sz w:val="20"/>
          <w:szCs w:val="20"/>
        </w:rPr>
        <w:t>5</w:t>
      </w:r>
      <w:r w:rsidRPr="001114AB">
        <w:rPr>
          <w:bCs/>
          <w:sz w:val="20"/>
          <w:szCs w:val="20"/>
          <w:lang w:val="uk-UA"/>
        </w:rPr>
        <w:t xml:space="preserve">. </w:t>
      </w:r>
      <w:r>
        <w:rPr>
          <w:bCs/>
          <w:sz w:val="20"/>
          <w:szCs w:val="20"/>
        </w:rPr>
        <w:t>P.97-100.</w:t>
      </w:r>
      <w:r>
        <w:rPr>
          <w:bCs/>
          <w:sz w:val="20"/>
          <w:szCs w:val="20"/>
          <w:lang w:val="uk-UA"/>
        </w:rPr>
        <w:t xml:space="preserve"> </w:t>
      </w:r>
    </w:p>
    <w:p w:rsidR="0055714E" w:rsidRPr="001114AB" w:rsidRDefault="0055714E" w:rsidP="0055714E">
      <w:pPr>
        <w:pStyle w:val="xfmc1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ISBN: </w:t>
      </w:r>
      <w:r w:rsidRPr="001114AB">
        <w:rPr>
          <w:bCs/>
          <w:sz w:val="20"/>
          <w:szCs w:val="20"/>
          <w:lang w:val="uk-UA"/>
        </w:rPr>
        <w:t>979-8-9917519-0-2</w:t>
      </w:r>
    </w:p>
    <w:p w:rsidR="0055714E" w:rsidRDefault="0055714E" w:rsidP="0055714E">
      <w:pPr>
        <w:pStyle w:val="xfmc1"/>
        <w:jc w:val="both"/>
        <w:rPr>
          <w:bCs/>
          <w:sz w:val="20"/>
          <w:szCs w:val="20"/>
          <w:lang w:val="uk-UA"/>
        </w:rPr>
      </w:pPr>
      <w:r w:rsidRPr="001114AB">
        <w:rPr>
          <w:bCs/>
          <w:sz w:val="20"/>
          <w:szCs w:val="20"/>
          <w:lang w:val="uk-UA"/>
        </w:rPr>
        <w:t xml:space="preserve">DOI: </w:t>
      </w:r>
      <w:r w:rsidRPr="00E2227F">
        <w:rPr>
          <w:bCs/>
          <w:sz w:val="20"/>
          <w:szCs w:val="20"/>
          <w:lang w:val="uk-UA"/>
        </w:rPr>
        <w:t>10.51587/9798-9917-51902-2025-021-97-100</w:t>
      </w:r>
    </w:p>
    <w:p w:rsidR="0055714E" w:rsidRPr="00E40DE3" w:rsidRDefault="0055714E" w:rsidP="00E40D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26365C" w:rsidRPr="0026365C" w:rsidRDefault="0026365C" w:rsidP="00232CB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0DE3" w:rsidRDefault="00E40DE3" w:rsidP="00783D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994" w:rsidRPr="007B300D" w:rsidRDefault="00162994">
      <w:pPr>
        <w:rPr>
          <w:lang w:val="uk-UA"/>
        </w:rPr>
      </w:pPr>
    </w:p>
    <w:sectPr w:rsidR="00162994" w:rsidRPr="007B3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798D"/>
    <w:multiLevelType w:val="hybridMultilevel"/>
    <w:tmpl w:val="DE3AD3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124B2"/>
    <w:rsid w:val="00013751"/>
    <w:rsid w:val="00113664"/>
    <w:rsid w:val="00160DF8"/>
    <w:rsid w:val="00162994"/>
    <w:rsid w:val="00232CBB"/>
    <w:rsid w:val="0026365C"/>
    <w:rsid w:val="00270DF8"/>
    <w:rsid w:val="00282AC6"/>
    <w:rsid w:val="004A4CAB"/>
    <w:rsid w:val="004F077B"/>
    <w:rsid w:val="00507BAC"/>
    <w:rsid w:val="0055714E"/>
    <w:rsid w:val="005D0BD3"/>
    <w:rsid w:val="00611CA9"/>
    <w:rsid w:val="006854F8"/>
    <w:rsid w:val="006F3D8F"/>
    <w:rsid w:val="00752A2F"/>
    <w:rsid w:val="00752BBA"/>
    <w:rsid w:val="00783D63"/>
    <w:rsid w:val="007B300D"/>
    <w:rsid w:val="008301BE"/>
    <w:rsid w:val="00852A2A"/>
    <w:rsid w:val="009E499A"/>
    <w:rsid w:val="00A76B7E"/>
    <w:rsid w:val="00B06005"/>
    <w:rsid w:val="00B42B6C"/>
    <w:rsid w:val="00B60719"/>
    <w:rsid w:val="00B7008C"/>
    <w:rsid w:val="00B90837"/>
    <w:rsid w:val="00D463AA"/>
    <w:rsid w:val="00DE5348"/>
    <w:rsid w:val="00E40DE3"/>
    <w:rsid w:val="00E528BA"/>
    <w:rsid w:val="00E96D80"/>
    <w:rsid w:val="00F01338"/>
    <w:rsid w:val="00F10D78"/>
    <w:rsid w:val="00F33574"/>
    <w:rsid w:val="00FC3235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B13-877D-40A3-BCC4-B68F0BC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0DE3"/>
    <w:pPr>
      <w:ind w:left="720"/>
      <w:contextualSpacing/>
    </w:pPr>
  </w:style>
  <w:style w:type="paragraph" w:customStyle="1" w:styleId="xfmc1">
    <w:name w:val="xfmc1"/>
    <w:basedOn w:val="a"/>
    <w:rsid w:val="0055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43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06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0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67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j.com.ua/uk/publikatsia-111355-standarti-diagnostiki-ta-likuvannya-kislotozalezhnih-i-helicobacter-pylori-asotsijovanih-zahvoryu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26</cp:revision>
  <dcterms:created xsi:type="dcterms:W3CDTF">2023-11-05T21:10:00Z</dcterms:created>
  <dcterms:modified xsi:type="dcterms:W3CDTF">2025-02-06T07:07:00Z</dcterms:modified>
</cp:coreProperties>
</file>