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E644"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4"/>
          <w:szCs w:val="24"/>
          <w:lang w:val="uk-UA"/>
        </w:rPr>
      </w:pPr>
      <w:r w:rsidRPr="00C73520">
        <w:rPr>
          <w:rFonts w:cs="Times New Roman"/>
          <w:sz w:val="24"/>
          <w:szCs w:val="24"/>
          <w:lang w:val="uk-UA"/>
        </w:rPr>
        <w:t>Форма 11</w:t>
      </w:r>
    </w:p>
    <w:p w14:paraId="70CDC2A6"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p>
    <w:p w14:paraId="20B15590"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4"/>
          <w:szCs w:val="24"/>
          <w:lang w:val="uk-UA"/>
        </w:rPr>
      </w:pPr>
      <w:r w:rsidRPr="00C73520">
        <w:rPr>
          <w:rFonts w:cs="Times New Roman"/>
          <w:b/>
          <w:bCs/>
          <w:sz w:val="24"/>
          <w:szCs w:val="24"/>
          <w:lang w:val="uk-UA"/>
        </w:rPr>
        <w:t xml:space="preserve">СПИСОК </w:t>
      </w:r>
    </w:p>
    <w:p w14:paraId="4E2C4782" w14:textId="77777777" w:rsidR="00825398" w:rsidRPr="00C73520" w:rsidRDefault="0082539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НАВЧАЛЬНО-МЕТОДИЧНИХ ТА НАУКОВИХ ПРАЦЬ</w:t>
      </w:r>
    </w:p>
    <w:p w14:paraId="13C02A09" w14:textId="77777777" w:rsidR="000A228E" w:rsidRPr="00C73520" w:rsidRDefault="000A228E">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Завідувача кафедри хірургії з курсом невідкладної та судинної хірургії</w:t>
      </w:r>
    </w:p>
    <w:p w14:paraId="4E194CA6"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 xml:space="preserve">доктора медичних наук </w:t>
      </w:r>
      <w:r w:rsidR="00EC4265" w:rsidRPr="00C73520">
        <w:rPr>
          <w:rFonts w:cs="Times New Roman"/>
          <w:sz w:val="24"/>
          <w:szCs w:val="24"/>
          <w:lang w:val="uk-UA"/>
        </w:rPr>
        <w:t xml:space="preserve">профессора </w:t>
      </w:r>
    </w:p>
    <w:p w14:paraId="3B9E4AAE"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Ярослава Михайловича</w:t>
      </w:r>
      <w:r w:rsidR="000A228E" w:rsidRPr="00C73520">
        <w:rPr>
          <w:rFonts w:cs="Times New Roman"/>
          <w:sz w:val="24"/>
          <w:szCs w:val="24"/>
          <w:lang w:val="uk-UA"/>
        </w:rPr>
        <w:t xml:space="preserve"> Сусака</w:t>
      </w:r>
    </w:p>
    <w:p w14:paraId="42A3CEE6" w14:textId="77777777" w:rsidR="000C258B" w:rsidRPr="00C73520" w:rsidRDefault="000C258B">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Національного медичного університету імені</w:t>
      </w:r>
      <w:r w:rsidR="001F5673" w:rsidRPr="00C73520">
        <w:rPr>
          <w:rFonts w:cs="Times New Roman"/>
          <w:sz w:val="24"/>
          <w:szCs w:val="24"/>
          <w:lang w:val="uk-UA"/>
        </w:rPr>
        <w:t xml:space="preserve"> О.О.Богомольця</w:t>
      </w:r>
    </w:p>
    <w:p w14:paraId="214537A8" w14:textId="4F70A78A" w:rsidR="001F5673" w:rsidRPr="00C73520" w:rsidRDefault="000A228E">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sz w:val="24"/>
          <w:szCs w:val="24"/>
          <w:lang w:val="uk-UA"/>
        </w:rPr>
        <w:t xml:space="preserve">За </w:t>
      </w:r>
      <w:r w:rsidR="00FB0524" w:rsidRPr="00C73520">
        <w:rPr>
          <w:rFonts w:cs="Times New Roman"/>
          <w:sz w:val="24"/>
          <w:szCs w:val="24"/>
          <w:lang w:val="uk-UA"/>
        </w:rPr>
        <w:t>201</w:t>
      </w:r>
      <w:r w:rsidR="00AE25B6">
        <w:rPr>
          <w:rFonts w:cs="Times New Roman"/>
          <w:sz w:val="24"/>
          <w:szCs w:val="24"/>
          <w:lang w:val="en-US"/>
        </w:rPr>
        <w:t>9</w:t>
      </w:r>
      <w:r w:rsidRPr="00C73520">
        <w:rPr>
          <w:rFonts w:cs="Times New Roman"/>
          <w:sz w:val="24"/>
          <w:szCs w:val="24"/>
          <w:lang w:val="uk-UA"/>
        </w:rPr>
        <w:t xml:space="preserve"> – 20</w:t>
      </w:r>
      <w:r w:rsidR="00FB0524" w:rsidRPr="00C73520">
        <w:rPr>
          <w:rFonts w:cs="Times New Roman"/>
          <w:sz w:val="24"/>
          <w:szCs w:val="24"/>
          <w:lang w:val="uk-UA"/>
        </w:rPr>
        <w:t>2</w:t>
      </w:r>
      <w:r w:rsidR="008934FD">
        <w:rPr>
          <w:rFonts w:cs="Times New Roman"/>
          <w:sz w:val="24"/>
          <w:szCs w:val="24"/>
          <w:lang w:val="uk-UA"/>
        </w:rPr>
        <w:t>5</w:t>
      </w:r>
      <w:r w:rsidR="001F5673" w:rsidRPr="00C73520">
        <w:rPr>
          <w:rFonts w:cs="Times New Roman"/>
          <w:sz w:val="24"/>
          <w:szCs w:val="24"/>
          <w:lang w:val="uk-UA"/>
        </w:rPr>
        <w:t xml:space="preserve"> рр.</w:t>
      </w:r>
    </w:p>
    <w:p w14:paraId="7774E34C"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p>
    <w:tbl>
      <w:tblPr>
        <w:tblW w:w="103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707"/>
        <w:gridCol w:w="3008"/>
        <w:gridCol w:w="1238"/>
        <w:gridCol w:w="2477"/>
        <w:gridCol w:w="885"/>
        <w:gridCol w:w="2055"/>
      </w:tblGrid>
      <w:tr w:rsidR="00BA1673" w:rsidRPr="00AE25B6" w14:paraId="12950874" w14:textId="77777777" w:rsidTr="0040324F">
        <w:trPr>
          <w:trHeight w:val="600"/>
        </w:trPr>
        <w:tc>
          <w:tcPr>
            <w:tcW w:w="1037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E8159" w14:textId="779BEB44" w:rsidR="00BA1673" w:rsidRPr="007E3953" w:rsidRDefault="00BA1673">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b/>
                <w:bCs/>
                <w:sz w:val="24"/>
                <w:szCs w:val="24"/>
                <w:lang w:val="uk-UA"/>
              </w:rPr>
            </w:pPr>
            <w:r w:rsidRPr="00C73520">
              <w:rPr>
                <w:rFonts w:cs="Times New Roman"/>
                <w:b/>
                <w:bCs/>
                <w:sz w:val="24"/>
                <w:szCs w:val="24"/>
                <w:lang w:val="uk-UA"/>
              </w:rPr>
              <w:t xml:space="preserve">І. </w:t>
            </w:r>
            <w:r>
              <w:rPr>
                <w:rFonts w:cs="Times New Roman"/>
                <w:b/>
                <w:bCs/>
                <w:sz w:val="24"/>
                <w:szCs w:val="24"/>
                <w:lang w:val="uk-UA"/>
              </w:rPr>
              <w:t>Статт</w:t>
            </w:r>
            <w:r w:rsidR="007E3953" w:rsidRPr="007E3953">
              <w:rPr>
                <w:rFonts w:cs="Times New Roman"/>
                <w:b/>
                <w:bCs/>
                <w:sz w:val="24"/>
                <w:szCs w:val="24"/>
                <w:lang w:val="uk-UA"/>
              </w:rPr>
              <w:t>і</w:t>
            </w:r>
            <w:r w:rsidR="007E3953">
              <w:rPr>
                <w:rFonts w:cs="Times New Roman"/>
                <w:b/>
                <w:bCs/>
                <w:sz w:val="24"/>
                <w:szCs w:val="24"/>
                <w:lang w:val="uk-UA"/>
              </w:rPr>
              <w:t xml:space="preserve"> </w:t>
            </w:r>
            <w:r w:rsidR="007E3953" w:rsidRPr="007E3953">
              <w:rPr>
                <w:rFonts w:cs="Times New Roman"/>
                <w:b/>
                <w:bCs/>
                <w:sz w:val="24"/>
                <w:szCs w:val="24"/>
                <w:lang w:val="uk-UA"/>
              </w:rPr>
              <w:t xml:space="preserve">в журналах, що індексуються в </w:t>
            </w:r>
            <w:r w:rsidR="007E3953" w:rsidRPr="007E3953">
              <w:rPr>
                <w:rFonts w:cs="Times New Roman"/>
                <w:b/>
                <w:bCs/>
                <w:sz w:val="24"/>
                <w:szCs w:val="24"/>
              </w:rPr>
              <w:t>Scopus</w:t>
            </w:r>
            <w:r w:rsidR="007E3953" w:rsidRPr="007E3953">
              <w:rPr>
                <w:rFonts w:cs="Times New Roman"/>
                <w:b/>
                <w:bCs/>
                <w:sz w:val="24"/>
                <w:szCs w:val="24"/>
                <w:lang w:val="uk-UA"/>
              </w:rPr>
              <w:t xml:space="preserve">, </w:t>
            </w:r>
            <w:r w:rsidR="007E3953" w:rsidRPr="007E3953">
              <w:rPr>
                <w:rFonts w:cs="Times New Roman"/>
                <w:b/>
                <w:bCs/>
                <w:sz w:val="24"/>
                <w:szCs w:val="24"/>
              </w:rPr>
              <w:t>Web</w:t>
            </w:r>
            <w:r w:rsidR="007E3953" w:rsidRPr="007E3953">
              <w:rPr>
                <w:rFonts w:cs="Times New Roman"/>
                <w:b/>
                <w:bCs/>
                <w:sz w:val="24"/>
                <w:szCs w:val="24"/>
                <w:lang w:val="uk-UA"/>
              </w:rPr>
              <w:t xml:space="preserve"> </w:t>
            </w:r>
            <w:r w:rsidR="007E3953" w:rsidRPr="007E3953">
              <w:rPr>
                <w:rFonts w:cs="Times New Roman"/>
                <w:b/>
                <w:bCs/>
                <w:sz w:val="24"/>
                <w:szCs w:val="24"/>
              </w:rPr>
              <w:t>of</w:t>
            </w:r>
            <w:r w:rsidR="007E3953" w:rsidRPr="007E3953">
              <w:rPr>
                <w:rFonts w:cs="Times New Roman"/>
                <w:b/>
                <w:bCs/>
                <w:sz w:val="24"/>
                <w:szCs w:val="24"/>
                <w:lang w:val="uk-UA"/>
              </w:rPr>
              <w:t xml:space="preserve"> </w:t>
            </w:r>
            <w:r w:rsidR="007E3953" w:rsidRPr="007E3953">
              <w:rPr>
                <w:rFonts w:cs="Times New Roman"/>
                <w:b/>
                <w:bCs/>
                <w:sz w:val="24"/>
                <w:szCs w:val="24"/>
              </w:rPr>
              <w:t>Science</w:t>
            </w:r>
            <w:r w:rsidR="007E3953" w:rsidRPr="007E3953">
              <w:rPr>
                <w:rFonts w:cs="Times New Roman"/>
                <w:b/>
                <w:bCs/>
                <w:sz w:val="24"/>
                <w:szCs w:val="24"/>
                <w:lang w:val="uk-UA"/>
              </w:rPr>
              <w:t xml:space="preserve"> або </w:t>
            </w:r>
            <w:r w:rsidR="007E3953" w:rsidRPr="007E3953">
              <w:rPr>
                <w:rFonts w:cs="Times New Roman"/>
                <w:b/>
                <w:bCs/>
                <w:sz w:val="24"/>
                <w:szCs w:val="24"/>
              </w:rPr>
              <w:t>PubMed</w:t>
            </w:r>
          </w:p>
        </w:tc>
      </w:tr>
      <w:tr w:rsidR="00C40DDC" w:rsidRPr="00C73520" w14:paraId="16DF0F52" w14:textId="77777777" w:rsidTr="0077641A">
        <w:trPr>
          <w:trHeight w:val="6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0CE72"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b/>
                <w:bCs/>
                <w:sz w:val="24"/>
                <w:szCs w:val="24"/>
                <w:lang w:val="uk-UA"/>
              </w:rPr>
              <w:t>№№ п/п</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CE4BA"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b/>
                <w:bCs/>
                <w:sz w:val="24"/>
                <w:szCs w:val="24"/>
                <w:lang w:val="uk-UA"/>
              </w:rPr>
              <w:t>Назва</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F69F8"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b/>
                <w:bCs/>
                <w:sz w:val="24"/>
                <w:szCs w:val="24"/>
                <w:lang w:val="uk-UA"/>
              </w:rPr>
              <w:t>Характер роботи</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123FE"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b/>
                <w:bCs/>
                <w:sz w:val="24"/>
                <w:szCs w:val="24"/>
                <w:lang w:val="uk-UA"/>
              </w:rPr>
              <w:t>Вихідні дані</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3E8A08"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b/>
                <w:bCs/>
                <w:sz w:val="24"/>
                <w:szCs w:val="24"/>
                <w:lang w:val="uk-UA"/>
              </w:rPr>
              <w:t xml:space="preserve">Обсяг </w:t>
            </w:r>
            <w:r w:rsidR="004B5803" w:rsidRPr="00C73520">
              <w:rPr>
                <w:rFonts w:cs="Times New Roman"/>
                <w:b/>
                <w:bCs/>
                <w:sz w:val="24"/>
                <w:szCs w:val="24"/>
                <w:lang w:val="uk-UA"/>
              </w:rPr>
              <w:t>(у стор.)</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24F09"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b/>
                <w:bCs/>
                <w:sz w:val="24"/>
                <w:szCs w:val="24"/>
                <w:lang w:val="uk-UA"/>
              </w:rPr>
              <w:t>Співавтори</w:t>
            </w:r>
          </w:p>
        </w:tc>
      </w:tr>
      <w:tr w:rsidR="00C40DDC" w:rsidRPr="00C73520" w14:paraId="34133ED6" w14:textId="77777777" w:rsidTr="0077641A">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5B8ACB"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84499"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2</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C538F"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3</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3E74B6"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102E4D"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5</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D250E" w14:textId="77777777" w:rsidR="00C40DDC" w:rsidRPr="00C73520" w:rsidRDefault="00C40DDC">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6</w:t>
            </w:r>
          </w:p>
        </w:tc>
      </w:tr>
      <w:tr w:rsidR="00F05613" w:rsidRPr="00AE25B6" w14:paraId="2A5A31C9"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106AA" w14:textId="64BEADA5" w:rsidR="00F05613" w:rsidRPr="00C73520" w:rsidRDefault="00D21775"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978AE" w14:textId="51042926" w:rsidR="00F05613" w:rsidRPr="00DA2276"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DA2276">
              <w:rPr>
                <w:color w:val="00B050"/>
                <w:sz w:val="24"/>
                <w:szCs w:val="24"/>
                <w:lang w:val="uk-UA"/>
              </w:rPr>
              <w:t>Antibiotic therapy in acute pancreatitis: From global overuse to evidence based recommendations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F78BA4" w14:textId="27AB7823" w:rsidR="00F05613" w:rsidRPr="00DA2276"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50A03" w14:textId="782CAEAD" w:rsidR="00F05613" w:rsidRPr="00DA2276"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DA2276">
              <w:rPr>
                <w:rFonts w:cs="Times New Roman"/>
                <w:color w:val="00B050"/>
                <w:sz w:val="24"/>
                <w:szCs w:val="24"/>
                <w:lang w:val="uk-UA"/>
              </w:rPr>
              <w:t>Pancreatology, Volume 19, Issue 4, June 2019, Pages 488-499 doi:10.1016/j.pan.2019.04.003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E0376" w14:textId="65362C7D" w:rsidR="00F05613" w:rsidRPr="00DA2276"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11</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78EB3" w14:textId="6A55AB2C" w:rsidR="00F05613" w:rsidRPr="00DA2276"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DA2276">
              <w:rPr>
                <w:rFonts w:cs="Times New Roman"/>
                <w:color w:val="00B050"/>
                <w:sz w:val="24"/>
                <w:szCs w:val="24"/>
                <w:lang w:val="uk-UA"/>
              </w:rPr>
              <w:t>Párniczky, A., Lantos, T., Tóth, E. M., Szakács, Z., Gódi, S., Hágendorn, R.</w:t>
            </w:r>
          </w:p>
        </w:tc>
      </w:tr>
      <w:tr w:rsidR="007A7188" w:rsidRPr="00AE25B6" w14:paraId="543C151C"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9CFE2" w14:textId="0011AF50"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2</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8E88C" w14:textId="184F4FA1"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DA2276">
              <w:rPr>
                <w:rFonts w:cs="Times New Roman"/>
                <w:color w:val="00B050"/>
                <w:sz w:val="24"/>
                <w:szCs w:val="24"/>
                <w:lang w:val="uk-UA"/>
              </w:rPr>
              <w:t>Infectious Complications of Acute Pancreatitis Is Associated with Peripheral Blood Phagocyte Functional Exhaustion</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DDF55D" w14:textId="7A0D932E"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AB499" w14:textId="47DEAF23"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DA2276">
              <w:rPr>
                <w:rFonts w:cs="Times New Roman"/>
                <w:color w:val="00B050"/>
                <w:sz w:val="24"/>
                <w:szCs w:val="24"/>
                <w:lang w:val="en-US"/>
              </w:rPr>
              <w:t>Digestive Diseases and Sciences. 2020 Mar. DOI: 10.1007/s10620-020-06172-y</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F13D2" w14:textId="75D45713"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9</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828A5" w14:textId="6C9BBF80"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DA2276">
              <w:rPr>
                <w:rFonts w:cs="Times New Roman"/>
                <w:color w:val="00B050"/>
                <w:sz w:val="24"/>
                <w:szCs w:val="24"/>
                <w:lang w:val="en-US"/>
              </w:rPr>
              <w:t>Dirda OO, Fedorchuk OG, Tkachenko OA, Skivka LM.</w:t>
            </w:r>
          </w:p>
        </w:tc>
      </w:tr>
      <w:tr w:rsidR="007A7188" w:rsidRPr="00AE25B6" w14:paraId="6309FDFB"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77F94" w14:textId="498B7699"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3</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660897" w14:textId="37416FE6"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DA2276">
              <w:rPr>
                <w:rFonts w:cs="Times New Roman"/>
                <w:color w:val="00B050"/>
                <w:sz w:val="24"/>
                <w:szCs w:val="24"/>
                <w:lang w:val="uk-UA"/>
              </w:rPr>
              <w:t>Anti-inflammatory and hepatoprotective effects of polyherbal composition in patients with chronic cholecystitis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6448B1" w14:textId="646E8F43"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5A536" w14:textId="007AECD6"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DA2276">
              <w:rPr>
                <w:rFonts w:cs="Times New Roman"/>
                <w:color w:val="00B050"/>
                <w:sz w:val="24"/>
                <w:szCs w:val="24"/>
                <w:lang w:val="uk-UA"/>
              </w:rPr>
              <w:t>The Ukrainian Biochemical Journal, 2020, 92(4), стр. 77–84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FFAF5" w14:textId="06DC8C03"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A2276">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B69E2" w14:textId="55F40065" w:rsidR="007A7188" w:rsidRPr="00DA2276"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DA2276">
              <w:rPr>
                <w:rFonts w:cs="Times New Roman"/>
                <w:color w:val="00B050"/>
                <w:sz w:val="24"/>
                <w:szCs w:val="24"/>
                <w:lang w:val="uk-UA"/>
              </w:rPr>
              <w:t>Gahramanova, M., Khalilova, I., Omarov, A., Rudyk, M., Skivka, L.</w:t>
            </w:r>
          </w:p>
        </w:tc>
      </w:tr>
      <w:tr w:rsidR="007A7188" w:rsidRPr="00AE25B6" w14:paraId="078516F3"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8D52F9" w14:textId="44232FAA"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4</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5175D" w14:textId="2F5ACA88" w:rsidR="007A7188" w:rsidRPr="00012B34"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E36C0A" w:themeColor="accent6" w:themeShade="BF"/>
                <w:sz w:val="24"/>
                <w:szCs w:val="24"/>
                <w:lang w:val="uk-UA"/>
              </w:rPr>
            </w:pPr>
            <w:r w:rsidRPr="00012B34">
              <w:rPr>
                <w:rFonts w:cs="Times New Roman"/>
                <w:color w:val="E36C0A" w:themeColor="accent6" w:themeShade="BF"/>
                <w:sz w:val="24"/>
                <w:szCs w:val="24"/>
                <w:lang w:val="uk-UA"/>
              </w:rPr>
              <w:t>Infectious Complications of Acute Pancreatitis Is Associated with Peripheral Blood Phagocyte Functional Exhaustion</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4E1CD5" w14:textId="3B9CD14F" w:rsidR="007A7188" w:rsidRPr="00012B34"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E36C0A" w:themeColor="accent6" w:themeShade="BF"/>
                <w:sz w:val="24"/>
                <w:szCs w:val="24"/>
                <w:lang w:val="uk-UA"/>
              </w:rPr>
            </w:pPr>
            <w:r w:rsidRPr="00012B34">
              <w:rPr>
                <w:rFonts w:cs="Times New Roman"/>
                <w:color w:val="E36C0A" w:themeColor="accent6" w:themeShade="BF"/>
                <w:sz w:val="24"/>
                <w:szCs w:val="24"/>
                <w:lang w:val="uk-UA"/>
              </w:rPr>
              <w:t>Стаття</w:t>
            </w:r>
            <w:r w:rsidR="00012B34">
              <w:rPr>
                <w:rFonts w:cs="Times New Roman"/>
                <w:color w:val="E36C0A" w:themeColor="accent6" w:themeShade="BF"/>
                <w:sz w:val="24"/>
                <w:szCs w:val="24"/>
                <w:lang w:val="uk-UA"/>
              </w:rPr>
              <w:t xml:space="preserve"> дублює №2</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B4ED40" w14:textId="50FC040F" w:rsidR="007A7188" w:rsidRPr="00012B34"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E36C0A" w:themeColor="accent6" w:themeShade="BF"/>
                <w:sz w:val="24"/>
                <w:szCs w:val="24"/>
                <w:lang w:val="uk-UA"/>
              </w:rPr>
            </w:pPr>
            <w:r w:rsidRPr="00012B34">
              <w:rPr>
                <w:rFonts w:cs="Times New Roman"/>
                <w:color w:val="E36C0A" w:themeColor="accent6" w:themeShade="BF"/>
                <w:sz w:val="24"/>
                <w:szCs w:val="24"/>
                <w:lang w:val="uk-UA"/>
              </w:rPr>
              <w:t>Digestive Diseases and Sciences, 2021, 66(1), стр. 121–130</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E69DF" w14:textId="6F3483FF" w:rsidR="007A7188" w:rsidRPr="00012B34"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E36C0A" w:themeColor="accent6" w:themeShade="BF"/>
                <w:sz w:val="24"/>
                <w:szCs w:val="24"/>
                <w:lang w:val="uk-UA"/>
              </w:rPr>
            </w:pPr>
            <w:r w:rsidRPr="00012B34">
              <w:rPr>
                <w:rFonts w:cs="Times New Roman"/>
                <w:color w:val="E36C0A" w:themeColor="accent6" w:themeShade="BF"/>
                <w:sz w:val="24"/>
                <w:szCs w:val="24"/>
                <w:lang w:val="uk-UA"/>
              </w:rPr>
              <w:t>9</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05DA4" w14:textId="4CB8B197" w:rsidR="007A7188" w:rsidRPr="00012B34"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E36C0A" w:themeColor="accent6" w:themeShade="BF"/>
                <w:sz w:val="24"/>
                <w:szCs w:val="24"/>
                <w:lang w:val="uk-UA"/>
              </w:rPr>
            </w:pPr>
            <w:r w:rsidRPr="00012B34">
              <w:rPr>
                <w:rFonts w:cs="Times New Roman"/>
                <w:color w:val="E36C0A" w:themeColor="accent6" w:themeShade="BF"/>
                <w:sz w:val="24"/>
                <w:szCs w:val="24"/>
                <w:lang w:val="uk-UA"/>
              </w:rPr>
              <w:t>Dirda, O.O., Fedorchuk, O.G., Tkachenko, O.A., Skivka, L.M.</w:t>
            </w:r>
          </w:p>
        </w:tc>
      </w:tr>
      <w:tr w:rsidR="007A7188" w:rsidRPr="00AE25B6" w14:paraId="30B8FE6B"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5A93D" w14:textId="31561D08"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5</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A73C9" w14:textId="44A6A26D" w:rsidR="007A7188" w:rsidRPr="005E6AB9"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5E6AB9">
              <w:rPr>
                <w:rFonts w:cs="Times New Roman"/>
                <w:color w:val="00B050"/>
                <w:sz w:val="24"/>
                <w:szCs w:val="24"/>
                <w:lang w:val="uk-UA"/>
              </w:rPr>
              <w:t>The role of laser and ultrasonic doppler flowmetry in the correction of cosmetic defects of the anterior abdominal wall and prevention of complications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F8ABC7" w14:textId="47B2011F" w:rsidR="007A7188" w:rsidRPr="005E6AB9"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5E6AB9">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2CF41" w14:textId="12E1CDB8" w:rsidR="007A7188" w:rsidRPr="005E6AB9"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5E6AB9">
              <w:rPr>
                <w:rFonts w:cs="Times New Roman"/>
                <w:color w:val="00B050"/>
                <w:sz w:val="24"/>
                <w:szCs w:val="24"/>
                <w:lang w:val="uk-UA"/>
              </w:rPr>
              <w:t>Wiad Lek 2021;74(7):1605-1611.</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5C1EA" w14:textId="7B9DBBF2" w:rsidR="007A7188" w:rsidRPr="005E6AB9"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5E6AB9">
              <w:rPr>
                <w:rFonts w:cs="Times New Roman"/>
                <w:color w:val="00B050"/>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CE48F" w14:textId="6D402447" w:rsidR="007A7188" w:rsidRPr="005E6AB9"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5E6AB9">
              <w:rPr>
                <w:rFonts w:cs="Times New Roman"/>
                <w:color w:val="00B050"/>
                <w:sz w:val="24"/>
                <w:szCs w:val="24"/>
                <w:lang w:val="uk-UA"/>
              </w:rPr>
              <w:t>Panchuk OV, Donets IG, Byck PL, Panchuk OF, Leshchyshyn IM.</w:t>
            </w:r>
          </w:p>
        </w:tc>
      </w:tr>
      <w:tr w:rsidR="007A7188" w:rsidRPr="00AE25B6" w14:paraId="36484DE1" w14:textId="77777777" w:rsidTr="00440196">
        <w:trPr>
          <w:trHeight w:val="32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BDBBFD" w14:textId="789B8BD9"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Pr>
                <w:rFonts w:cs="Times New Roman"/>
                <w:sz w:val="24"/>
                <w:szCs w:val="24"/>
                <w:lang w:val="uk-UA"/>
              </w:rPr>
              <w:t>6</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1B1DA" w14:textId="750D9101" w:rsidR="007A7188" w:rsidRPr="0048503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485030">
              <w:rPr>
                <w:rFonts w:cs="Times New Roman"/>
                <w:color w:val="00B050"/>
                <w:sz w:val="24"/>
                <w:szCs w:val="24"/>
                <w:lang w:val="uk-UA"/>
              </w:rPr>
              <w:t>Hungarian Pancreatic Study Group.Recurrent acute pancreatitis prevention by the elimination of alcohol and cigarette smoking (REAPPEAR): protocol of a randomised controlled trial and a cohort study</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70C2FA" w14:textId="2480CBDA" w:rsidR="007A7188" w:rsidRPr="0048503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485030">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4AEEF" w14:textId="7C192C34" w:rsidR="007A7188" w:rsidRPr="0048503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485030">
              <w:rPr>
                <w:rFonts w:cs="Times New Roman"/>
                <w:color w:val="00B050"/>
                <w:sz w:val="24"/>
                <w:szCs w:val="24"/>
                <w:lang w:val="uk-UA"/>
              </w:rPr>
              <w:t>BMJ Open. 2022 Jan 4;12(1):e050821. doi: 10.1136/bmjopen-2021-050821.</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7F6EB" w14:textId="6CC1C811" w:rsidR="007A7188" w:rsidRPr="0048503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485030">
              <w:rPr>
                <w:rFonts w:cs="Times New Roman"/>
                <w:color w:val="00B050"/>
                <w:sz w:val="24"/>
                <w:szCs w:val="24"/>
                <w:lang w:val="uk-UA"/>
              </w:rPr>
              <w:t>9</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86505" w14:textId="612513B5" w:rsidR="007A7188" w:rsidRPr="0048503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485030">
              <w:rPr>
                <w:rFonts w:cs="Times New Roman"/>
                <w:color w:val="00B050"/>
                <w:sz w:val="24"/>
                <w:szCs w:val="24"/>
                <w:lang w:val="uk-UA"/>
              </w:rPr>
              <w:t xml:space="preserve">Ocskay K, Juhász MF, Farkas N, Zádori N, Szakó L, Szakács Z, Szentesi A, Erőss B, Miklós E, Zemplényi A, Birkás B, Csathó Á, Hartung I, Nagy T, Czopf L, Izbéki F, Gajdán L, Papp M, Czakó L, Illés D, </w:t>
            </w:r>
            <w:r w:rsidRPr="00485030">
              <w:rPr>
                <w:rFonts w:cs="Times New Roman"/>
                <w:color w:val="00B050"/>
                <w:sz w:val="24"/>
                <w:szCs w:val="24"/>
                <w:lang w:val="uk-UA"/>
              </w:rPr>
              <w:lastRenderedPageBreak/>
              <w:t>Marino MV, Mirabella A, Małecka-Panas E, Zatorski H, Opalchuk K, Capurso G, Apadula L, Gheorghe C, Saizu IA, Petersen OH, de-Madaria E, Rosendahl J, Párniczky A, Hegyi P</w:t>
            </w:r>
          </w:p>
        </w:tc>
      </w:tr>
      <w:tr w:rsidR="007A7188" w:rsidRPr="00AE25B6" w14:paraId="2880843C"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C85EB" w14:textId="781D6A23"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lastRenderedPageBreak/>
              <w:t>7</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A4464" w14:textId="6891768B" w:rsidR="007A7188" w:rsidRPr="00634DE5"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634DE5">
              <w:rPr>
                <w:rFonts w:cs="Times New Roman"/>
                <w:color w:val="00B050"/>
                <w:sz w:val="24"/>
                <w:szCs w:val="24"/>
                <w:lang w:val="uk-UA"/>
              </w:rPr>
              <w:t>Routine laboratory parameters in patients with necrotizing pancreatitis by the time of operative pancreatic debridement: Food for thought</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9E76C2" w14:textId="2F7D8FC8" w:rsidR="007A7188" w:rsidRPr="00634DE5"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34DE5">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EE6C9" w14:textId="7F01CAF6" w:rsidR="007A7188" w:rsidRPr="00634DE5"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634DE5">
              <w:rPr>
                <w:rFonts w:cs="Times New Roman"/>
                <w:color w:val="00B050"/>
                <w:sz w:val="24"/>
                <w:szCs w:val="24"/>
                <w:lang w:val="uk-UA"/>
              </w:rPr>
              <w:t>World J Gastrointest Surg. 2022 Jan 27;14(1):64-77. doi: 10.4240/wjgs.v14.i1.64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8A5F4" w14:textId="02D4415F" w:rsidR="007A7188" w:rsidRPr="00634DE5"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34DE5">
              <w:rPr>
                <w:rFonts w:cs="Times New Roman"/>
                <w:color w:val="00B050"/>
                <w:sz w:val="24"/>
                <w:szCs w:val="24"/>
                <w:lang w:val="uk-UA"/>
              </w:rPr>
              <w:t>14</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361ED" w14:textId="23DC92AF" w:rsidR="007A7188" w:rsidRPr="00634DE5"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634DE5">
              <w:rPr>
                <w:rFonts w:cs="Times New Roman"/>
                <w:color w:val="00B050"/>
                <w:sz w:val="24"/>
                <w:szCs w:val="24"/>
                <w:lang w:val="uk-UA"/>
              </w:rPr>
              <w:t>Opalchuk K, Tkachenko O, Rudyk M, Skivka L</w:t>
            </w:r>
          </w:p>
        </w:tc>
      </w:tr>
      <w:tr w:rsidR="007A7188" w:rsidRPr="00DF1606" w14:paraId="098D4038"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5926D" w14:textId="3EF7E74F"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t>8</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F10FA" w14:textId="2FEEFD88" w:rsidR="007A7188" w:rsidRPr="00F903C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F903C7">
              <w:rPr>
                <w:rFonts w:cs="Times New Roman"/>
                <w:color w:val="00B050"/>
                <w:sz w:val="24"/>
                <w:szCs w:val="24"/>
                <w:lang w:val="uk-UA"/>
              </w:rPr>
              <w:t>Невідкладні хірургічні втручання у дітей раннього віку з лімфатичними мальформаціями грудної та черевної порожнини</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8B1533" w14:textId="7E811BB3" w:rsidR="007A7188" w:rsidRPr="00F903C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F903C7">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8F8DA" w14:textId="3A10A54D" w:rsidR="007A7188" w:rsidRPr="00F903C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F903C7">
              <w:rPr>
                <w:rFonts w:cs="Times New Roman"/>
                <w:color w:val="00B050"/>
                <w:sz w:val="24"/>
                <w:szCs w:val="24"/>
                <w:lang w:val="uk-UA"/>
              </w:rPr>
              <w:t>Неонатологія, хірургія та перинатальна медицина, 2022,. 12(4 (46)), 36-42</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FAD4B" w14:textId="2BA25DCE" w:rsidR="007A7188" w:rsidRPr="00F903C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F903C7">
              <w:rPr>
                <w:rFonts w:cs="Times New Roman"/>
                <w:color w:val="00B050"/>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7F7E1" w14:textId="0EF571B8" w:rsidR="007A7188" w:rsidRPr="00F903C7"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F903C7">
              <w:rPr>
                <w:rFonts w:cs="Times New Roman"/>
                <w:color w:val="00B050"/>
                <w:sz w:val="24"/>
                <w:szCs w:val="24"/>
                <w:lang w:val="uk-UA"/>
              </w:rPr>
              <w:t>Горбатюк, О., Наконечний, А., Руденко, Е., Притула, В.</w:t>
            </w:r>
          </w:p>
        </w:tc>
      </w:tr>
      <w:tr w:rsidR="007A7188" w:rsidRPr="00AE25B6" w14:paraId="671353AE"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008BF" w14:textId="696F1113"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t>9</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8C4E57" w14:textId="5A3565BD" w:rsidR="007A7188" w:rsidRPr="0013460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134607">
              <w:rPr>
                <w:rFonts w:cs="Times New Roman"/>
                <w:color w:val="00B050"/>
                <w:sz w:val="24"/>
                <w:szCs w:val="24"/>
                <w:lang w:val="uk-UA"/>
              </w:rPr>
              <w:t>Effectiveness of a new approach to minimally invasive surgery in palliative treatment of patients with distal malignant biliary obstruction</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A66055" w14:textId="56D99FC0" w:rsidR="007A7188" w:rsidRPr="0013460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134607">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CA791E" w14:textId="17DCF019" w:rsidR="007A7188" w:rsidRPr="0013460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134607">
              <w:rPr>
                <w:rFonts w:cs="Times New Roman"/>
                <w:color w:val="00B050"/>
                <w:sz w:val="24"/>
                <w:szCs w:val="24"/>
                <w:lang w:val="uk-UA"/>
              </w:rPr>
              <w:t>World J Gastrointest Surg. 2023 Apr 27;15(4):698-711</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53E62" w14:textId="2325AC24" w:rsidR="007A7188" w:rsidRPr="00134607"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134607">
              <w:rPr>
                <w:rFonts w:cs="Times New Roman"/>
                <w:color w:val="00B050"/>
                <w:sz w:val="24"/>
                <w:szCs w:val="24"/>
                <w:lang w:val="uk-UA"/>
              </w:rPr>
              <w:t>13</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6D7D9" w14:textId="4FFAA755" w:rsidR="007A7188" w:rsidRPr="00134607"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134607">
              <w:rPr>
                <w:rFonts w:cs="Times New Roman"/>
                <w:color w:val="00B050"/>
                <w:sz w:val="24"/>
                <w:szCs w:val="24"/>
                <w:lang w:val="uk-UA"/>
              </w:rPr>
              <w:t>Markulan LY, Lobanov SM, Palitsya RY, Rudyk MP, Skivka LM.</w:t>
            </w:r>
          </w:p>
        </w:tc>
      </w:tr>
      <w:tr w:rsidR="007A7188" w:rsidRPr="00DF1606" w14:paraId="279204B1"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49EF0" w14:textId="7369DF93"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t>10</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84E3E" w14:textId="77777777" w:rsidR="007A7188"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705001">
              <w:rPr>
                <w:rFonts w:cs="Times New Roman"/>
                <w:color w:val="00B050"/>
                <w:sz w:val="24"/>
                <w:szCs w:val="24"/>
                <w:lang w:val="uk-UA"/>
              </w:rPr>
              <w:t>Якість життя у вагітних з хронічними повільно-транзиторними закрепами</w:t>
            </w:r>
          </w:p>
          <w:p w14:paraId="23C232C2" w14:textId="4D79849C" w:rsidR="00705001" w:rsidRPr="00705001" w:rsidRDefault="00705001" w:rsidP="0070500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cs="Times New Roman"/>
                <w:color w:val="00B050"/>
                <w:sz w:val="24"/>
                <w:szCs w:val="24"/>
                <w:lang w:val="uk-UA"/>
              </w:rPr>
            </w:pP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220096" w14:textId="2481E318"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05001">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7D5899" w14:textId="25F1DF38"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705001">
              <w:rPr>
                <w:rFonts w:cs="Times New Roman"/>
                <w:color w:val="00B050"/>
                <w:sz w:val="24"/>
                <w:szCs w:val="24"/>
                <w:lang w:val="uk-UA"/>
              </w:rPr>
              <w:t>Неонатологія, хірургія та перинатальна медицина, 2024. 14(2(52), 63–69.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CEB2E" w14:textId="4B0D3678"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05001">
              <w:rPr>
                <w:rFonts w:cs="Times New Roman"/>
                <w:color w:val="00B050"/>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71875" w14:textId="54EF6C3D" w:rsidR="007A7188" w:rsidRPr="00705001"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705001">
              <w:rPr>
                <w:rFonts w:cs="Times New Roman"/>
                <w:color w:val="00B050"/>
                <w:sz w:val="24"/>
                <w:szCs w:val="24"/>
                <w:lang w:val="uk-UA"/>
              </w:rPr>
              <w:t>Маркулан, Л., Бик, П., Мартинюк, Н., Охоцька, О</w:t>
            </w:r>
          </w:p>
        </w:tc>
      </w:tr>
      <w:tr w:rsidR="007A7188" w:rsidRPr="00AE25B6" w14:paraId="16339D0A"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AA819" w14:textId="710A64F9"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t>11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F9622" w14:textId="2CE8214E"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705001">
              <w:rPr>
                <w:rFonts w:cs="Times New Roman"/>
                <w:color w:val="00B050"/>
                <w:sz w:val="24"/>
                <w:szCs w:val="24"/>
                <w:lang w:val="uk-UA"/>
              </w:rPr>
              <w:t>Standards for providing emergency care at the prehospital and early hospital stages for patients with mechanical jaundice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4F6207" w14:textId="60527F88"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05001">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7091EA" w14:textId="57F36836"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705001">
              <w:rPr>
                <w:rFonts w:cs="Times New Roman"/>
                <w:color w:val="00B050"/>
                <w:sz w:val="24"/>
                <w:szCs w:val="24"/>
                <w:lang w:val="uk-UA"/>
              </w:rPr>
              <w:t>EMERGENCY MEDICINE, (2024). 20(2), 137–143.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AA302" w14:textId="2FF1B75C" w:rsidR="007A7188" w:rsidRPr="007050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05001">
              <w:rPr>
                <w:rFonts w:cs="Times New Roman"/>
                <w:color w:val="00B050"/>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C7E3D" w14:textId="671412CB" w:rsidR="007A7188" w:rsidRPr="00705001"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705001">
              <w:rPr>
                <w:rFonts w:cs="Times New Roman"/>
                <w:color w:val="00B050"/>
                <w:sz w:val="24"/>
                <w:szCs w:val="24"/>
                <w:lang w:val="uk-UA"/>
              </w:rPr>
              <w:t>Maksymenko, M., Korotia, M., Volkovetsky, V.,  Havryliuk, R.</w:t>
            </w:r>
          </w:p>
        </w:tc>
      </w:tr>
      <w:tr w:rsidR="007A7188" w:rsidRPr="00AE25B6" w14:paraId="6237A0FA" w14:textId="77777777" w:rsidTr="0077641A">
        <w:trPr>
          <w:trHeight w:val="1500"/>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F1DB9" w14:textId="734CA90C" w:rsidR="007A7188" w:rsidRPr="00C73520" w:rsidRDefault="00D21775"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uk-UA"/>
              </w:rPr>
              <w:t>12</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428A3" w14:textId="2B26BFA7" w:rsidR="007A7188" w:rsidRPr="00CF6ABB"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CF6ABB">
              <w:rPr>
                <w:rFonts w:cs="Times New Roman"/>
                <w:color w:val="00B050"/>
                <w:sz w:val="24"/>
                <w:szCs w:val="24"/>
                <w:lang w:val="uk-UA"/>
              </w:rPr>
              <w:t>Experience of interinstitutional interaction while delivering of surgical aid in the disasters environment</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57B44E" w14:textId="7F6E17DC" w:rsidR="007A7188" w:rsidRPr="00CF6ABB"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CF6ABB">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CEBEF" w14:textId="4FA1D69B" w:rsidR="007A7188" w:rsidRPr="00CF6ABB"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CF6ABB">
              <w:rPr>
                <w:rFonts w:cs="Times New Roman"/>
                <w:color w:val="00B050"/>
                <w:sz w:val="24"/>
                <w:szCs w:val="24"/>
                <w:lang w:val="uk-UA"/>
              </w:rPr>
              <w:t>Klinicheskaia Khirurgiia, 87(3-4), 65-68.</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E3E0E6" w14:textId="7839E073" w:rsidR="007A7188" w:rsidRPr="00CF6ABB"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CF6ABB">
              <w:rPr>
                <w:rFonts w:cs="Times New Roman"/>
                <w:color w:val="00B050"/>
                <w:sz w:val="24"/>
                <w:szCs w:val="24"/>
                <w:lang w:val="uk-UA"/>
              </w:rPr>
              <w:t>3</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7D6C8" w14:textId="2565D079" w:rsidR="007A7188" w:rsidRPr="00CF6ABB"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CF6ABB">
              <w:rPr>
                <w:rFonts w:cs="Times New Roman"/>
                <w:color w:val="00B050"/>
                <w:sz w:val="24"/>
                <w:szCs w:val="24"/>
                <w:lang w:val="uk-UA"/>
              </w:rPr>
              <w:t>Roshchin, G. G., Slychko, I. J., Mazurenko, O. V., Iskra, N. I., &amp; Kuzmin, V. Y.</w:t>
            </w:r>
          </w:p>
        </w:tc>
      </w:tr>
    </w:tbl>
    <w:p w14:paraId="611047F7" w14:textId="77777777" w:rsidR="005C16E8" w:rsidRPr="00AE25B6" w:rsidRDefault="005C16E8">
      <w:pPr>
        <w:rPr>
          <w:lang w:val="en-US"/>
        </w:rPr>
      </w:pPr>
    </w:p>
    <w:tbl>
      <w:tblPr>
        <w:tblW w:w="103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
        <w:gridCol w:w="668"/>
        <w:gridCol w:w="3008"/>
        <w:gridCol w:w="1238"/>
        <w:gridCol w:w="2477"/>
        <w:gridCol w:w="885"/>
        <w:gridCol w:w="2055"/>
      </w:tblGrid>
      <w:tr w:rsidR="00BA1673" w:rsidRPr="00D110B7" w14:paraId="62487157" w14:textId="77777777" w:rsidTr="00D110B7">
        <w:trPr>
          <w:trHeight w:val="958"/>
        </w:trPr>
        <w:tc>
          <w:tcPr>
            <w:tcW w:w="1037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AA8E1" w14:textId="56258235" w:rsidR="00BA1673" w:rsidRDefault="00BA1673" w:rsidP="00BA167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4"/>
                <w:szCs w:val="24"/>
                <w:lang w:val="uk-UA"/>
              </w:rPr>
            </w:pPr>
            <w:r w:rsidRPr="00C73520">
              <w:rPr>
                <w:rFonts w:cs="Times New Roman"/>
                <w:b/>
                <w:bCs/>
                <w:sz w:val="24"/>
                <w:szCs w:val="24"/>
                <w:lang w:val="uk-UA"/>
              </w:rPr>
              <w:lastRenderedPageBreak/>
              <w:t xml:space="preserve">ІІ. </w:t>
            </w:r>
            <w:r w:rsidR="005C16E8">
              <w:rPr>
                <w:rFonts w:cs="Times New Roman"/>
                <w:b/>
                <w:bCs/>
                <w:sz w:val="24"/>
                <w:szCs w:val="24"/>
                <w:lang w:val="uk-UA"/>
              </w:rPr>
              <w:t xml:space="preserve">Статті у </w:t>
            </w:r>
            <w:r w:rsidR="005C16E8" w:rsidRPr="005C16E8">
              <w:rPr>
                <w:rFonts w:cs="Times New Roman"/>
                <w:b/>
                <w:bCs/>
                <w:sz w:val="24"/>
                <w:szCs w:val="24"/>
                <w:lang w:val="uk-UA"/>
              </w:rPr>
              <w:t>фахових журналах ДАК МОН України</w:t>
            </w:r>
            <w:r w:rsidR="007D4BE6">
              <w:rPr>
                <w:rFonts w:cs="Times New Roman"/>
                <w:b/>
                <w:bCs/>
                <w:sz w:val="24"/>
                <w:szCs w:val="24"/>
                <w:lang w:val="uk-UA"/>
              </w:rPr>
              <w:t xml:space="preserve"> та інших виданнях</w:t>
            </w:r>
          </w:p>
          <w:p w14:paraId="1694B74B" w14:textId="10E75862" w:rsidR="005C16E8" w:rsidRPr="00C73520" w:rsidRDefault="005C16E8" w:rsidP="00BA167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4"/>
                <w:szCs w:val="24"/>
                <w:lang w:val="uk-UA"/>
              </w:rPr>
            </w:pPr>
          </w:p>
        </w:tc>
      </w:tr>
      <w:tr w:rsidR="007D4BE6" w:rsidRPr="00C73520" w14:paraId="32B4001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1F213" w14:textId="708E836C" w:rsidR="007D4BE6" w:rsidRPr="00AE25B6" w:rsidRDefault="00AE25B6" w:rsidP="007D4BE6">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13</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30CB58" w14:textId="158AF4F1" w:rsidR="007D4BE6" w:rsidRPr="0015030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150305">
              <w:rPr>
                <w:rFonts w:cs="Times New Roman"/>
                <w:color w:val="00B050"/>
                <w:sz w:val="24"/>
                <w:szCs w:val="24"/>
                <w:lang w:val="uk-UA"/>
              </w:rPr>
              <w:t xml:space="preserve">Оцінка ефективності профілактики ротації протезу молочної залози у віддаленому трирічному післяопераційному періоді </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F5E654" w14:textId="0EE38DAE" w:rsidR="007D4BE6" w:rsidRPr="0015030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150305">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20BEA" w14:textId="4ABF14AB" w:rsidR="007D4BE6" w:rsidRPr="0015030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150305">
              <w:rPr>
                <w:rFonts w:cs="Times New Roman"/>
                <w:color w:val="00B050"/>
                <w:sz w:val="24"/>
                <w:szCs w:val="24"/>
                <w:lang w:val="uk-UA"/>
              </w:rPr>
              <w:t>Клінічна анатомія та оперативна хірургія // - 2019 -№4 (70) том 18 С.72-79) УДК 617-089.844-018</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00353" w14:textId="1F88B067" w:rsidR="007D4BE6" w:rsidRPr="0015030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150305">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C4F89" w14:textId="59E40F72" w:rsidR="007D4BE6" w:rsidRPr="00150305" w:rsidRDefault="007D4BE6" w:rsidP="007D4BE6">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150305">
              <w:rPr>
                <w:rFonts w:cs="Times New Roman"/>
                <w:color w:val="00B050"/>
                <w:sz w:val="24"/>
                <w:szCs w:val="24"/>
                <w:lang w:val="uk-UA"/>
              </w:rPr>
              <w:t>Маркулан Л.Ю., Захарцева О.І., Храпач В.В.</w:t>
            </w:r>
          </w:p>
        </w:tc>
      </w:tr>
      <w:tr w:rsidR="007D4BE6" w:rsidRPr="00C73520" w14:paraId="6F5B7B0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C41342" w14:textId="724D5823" w:rsidR="007D4BE6" w:rsidRPr="00AE25B6" w:rsidRDefault="00AE25B6" w:rsidP="007D4BE6">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14</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398FA" w14:textId="3572CAFA" w:rsidR="007D4BE6" w:rsidRPr="0080649A"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0649A">
              <w:rPr>
                <w:rFonts w:cs="Times New Roman"/>
                <w:color w:val="00B050"/>
                <w:sz w:val="24"/>
                <w:szCs w:val="24"/>
                <w:lang w:val="uk-UA"/>
              </w:rPr>
              <w:t>Паліативне хірургічне лікування хворих з проксимальним пухлинним ураженням жовчних проток і синдромом жовтяниці</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B08C09" w14:textId="0FE1AEC4" w:rsidR="007D4BE6" w:rsidRPr="0080649A"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649A">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8E73F" w14:textId="5FFA55CA" w:rsidR="007D4BE6" w:rsidRPr="0080649A"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0649A">
              <w:rPr>
                <w:rFonts w:cs="Times New Roman"/>
                <w:color w:val="00B050"/>
                <w:sz w:val="24"/>
                <w:szCs w:val="24"/>
                <w:lang w:val="uk-UA"/>
              </w:rPr>
              <w:t>Klinichna khirurhiia. 2020 November/December; 87(11-12):40-47. DOI: 10.26779/2522-1396.2020.11-12.40.</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C3BA5" w14:textId="21BA1641" w:rsidR="007D4BE6" w:rsidRPr="0080649A"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649A">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9082D" w14:textId="7AF4765B" w:rsidR="007D4BE6" w:rsidRPr="0080649A" w:rsidRDefault="007D4BE6" w:rsidP="007D4BE6">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0649A">
              <w:rPr>
                <w:rFonts w:cs="Times New Roman"/>
                <w:color w:val="00B050"/>
                <w:sz w:val="24"/>
                <w:szCs w:val="24"/>
                <w:lang w:val="uk-UA"/>
              </w:rPr>
              <w:t>Палиця Р..Я, Маркулан Л.Ю., Дирда О. О.</w:t>
            </w:r>
          </w:p>
        </w:tc>
      </w:tr>
      <w:tr w:rsidR="007D4BE6" w:rsidRPr="00AE25B6" w14:paraId="7CCDDABD"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4D922" w14:textId="6819A88F" w:rsidR="007D4BE6" w:rsidRPr="00AE25B6" w:rsidRDefault="00AE25B6" w:rsidP="007D4BE6">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15</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AC133" w14:textId="52B1C698" w:rsidR="007D4BE6" w:rsidRPr="000E087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0E0875">
              <w:rPr>
                <w:rFonts w:cs="Times New Roman"/>
                <w:color w:val="00B050"/>
                <w:sz w:val="24"/>
                <w:szCs w:val="24"/>
                <w:lang w:val="uk-UA"/>
              </w:rPr>
              <w:t>Сorrection of breast asymmetry: structural changes Of adipose tissue in autologous fat grafting</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327ED1" w14:textId="091C9548" w:rsidR="007D4BE6" w:rsidRPr="000E087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0E0875">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80819" w14:textId="28979964" w:rsidR="007D4BE6" w:rsidRPr="000E087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0E0875">
              <w:rPr>
                <w:rFonts w:cs="Times New Roman"/>
                <w:color w:val="00B050"/>
                <w:sz w:val="24"/>
                <w:szCs w:val="24"/>
                <w:lang w:val="uk-UA"/>
              </w:rPr>
              <w:t>ISSN 2079-8334. Світ медицини та біології. 2020. № 1 (71) DOI 10.26724/2079-8334-2020-1-71-223-226 UDC 618.19:611.779:615.46.</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B5768" w14:textId="5AE44793" w:rsidR="007D4BE6" w:rsidRPr="000E0875" w:rsidRDefault="007D4BE6" w:rsidP="007D4BE6">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0E0875">
              <w:rPr>
                <w:rFonts w:cs="Times New Roman"/>
                <w:color w:val="00B050"/>
                <w:sz w:val="24"/>
                <w:szCs w:val="24"/>
                <w:lang w:val="uk-UA"/>
              </w:rPr>
              <w:t>4</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5370F" w14:textId="029ABFBA" w:rsidR="007D4BE6" w:rsidRPr="000E0875" w:rsidRDefault="007D4BE6" w:rsidP="007D4BE6">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0E0875">
              <w:rPr>
                <w:rFonts w:cs="Times New Roman"/>
                <w:color w:val="00B050"/>
                <w:sz w:val="24"/>
                <w:szCs w:val="24"/>
                <w:lang w:val="uk-UA"/>
              </w:rPr>
              <w:t>Sliusarev М.І., Yeroshenko G.А., Markulan L.Yu., Кriganovskiy О.А.</w:t>
            </w:r>
          </w:p>
        </w:tc>
      </w:tr>
      <w:tr w:rsidR="007A7188" w:rsidRPr="00AE25B6" w14:paraId="277B0F0E"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71937" w14:textId="505FE705"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16</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F184A" w14:textId="08F13AC6" w:rsidR="007A7188" w:rsidRPr="0003429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943634" w:themeColor="accent2" w:themeShade="BF"/>
                <w:sz w:val="24"/>
                <w:szCs w:val="24"/>
                <w:lang w:val="uk-UA"/>
              </w:rPr>
            </w:pPr>
            <w:r w:rsidRPr="00034290">
              <w:rPr>
                <w:rFonts w:cs="Times New Roman"/>
                <w:color w:val="943634" w:themeColor="accent2" w:themeShade="BF"/>
                <w:sz w:val="24"/>
                <w:szCs w:val="24"/>
                <w:lang w:val="uk-UA"/>
              </w:rPr>
              <w:t>Subcutaneous Unilateral Excision Technique in Treatment of Tezel Type 4 Pilonidal Sinus Disease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03A965" w14:textId="29687CF2" w:rsidR="007A7188" w:rsidRPr="0003429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034290">
              <w:rPr>
                <w:rFonts w:cs="Times New Roman"/>
                <w:color w:val="943634" w:themeColor="accent2" w:themeShade="BF"/>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671B7" w14:textId="288E208A" w:rsidR="007A7188" w:rsidRPr="0003429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943634" w:themeColor="accent2" w:themeShade="BF"/>
                <w:sz w:val="24"/>
                <w:szCs w:val="24"/>
                <w:lang w:val="uk-UA"/>
              </w:rPr>
            </w:pPr>
            <w:r w:rsidRPr="00034290">
              <w:rPr>
                <w:rFonts w:cs="Times New Roman"/>
                <w:color w:val="943634" w:themeColor="accent2" w:themeShade="BF"/>
                <w:sz w:val="24"/>
                <w:szCs w:val="24"/>
                <w:lang w:val="uk-UA"/>
              </w:rPr>
              <w:t>Pilonidal Sinus Journal. – 2020. – Vol. 6, N. 1. – P. 11-20.</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55425" w14:textId="6F8312B1" w:rsidR="007A7188" w:rsidRPr="00034290"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034290">
              <w:rPr>
                <w:rFonts w:cs="Times New Roman"/>
                <w:color w:val="943634" w:themeColor="accent2" w:themeShade="BF"/>
                <w:sz w:val="24"/>
                <w:szCs w:val="24"/>
                <w:lang w:val="uk-UA"/>
              </w:rPr>
              <w:t>9</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39E109" w14:textId="1270F1DC" w:rsidR="007A7188" w:rsidRPr="0003429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943634" w:themeColor="accent2" w:themeShade="BF"/>
                <w:sz w:val="24"/>
                <w:szCs w:val="24"/>
                <w:lang w:val="uk-UA"/>
              </w:rPr>
            </w:pPr>
            <w:r w:rsidRPr="00034290">
              <w:rPr>
                <w:rFonts w:cs="Times New Roman"/>
                <w:color w:val="943634" w:themeColor="accent2" w:themeShade="BF"/>
                <w:sz w:val="24"/>
                <w:szCs w:val="24"/>
                <w:lang w:val="uk-UA"/>
              </w:rPr>
              <w:t>Tsema Ie, Nechay V., Dubenko D., Kulyk A.</w:t>
            </w:r>
          </w:p>
        </w:tc>
      </w:tr>
      <w:tr w:rsidR="007A7188" w:rsidRPr="00AE25B6" w14:paraId="3088A3C6"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76403" w14:textId="39356CA2"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17</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4C305" w14:textId="4D023E1C" w:rsidR="007A7188" w:rsidRPr="008526F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943634" w:themeColor="accent2" w:themeShade="BF"/>
                <w:sz w:val="24"/>
                <w:szCs w:val="24"/>
                <w:lang w:val="uk-UA"/>
              </w:rPr>
            </w:pPr>
            <w:r w:rsidRPr="008526F2">
              <w:rPr>
                <w:rFonts w:cs="Times New Roman"/>
                <w:color w:val="943634" w:themeColor="accent2" w:themeShade="BF"/>
                <w:sz w:val="24"/>
                <w:szCs w:val="24"/>
                <w:lang w:val="uk-UA"/>
              </w:rPr>
              <w:t>Гистологические изменения большой грудной мышцы после первичной аугментационной маммопластики и их связь с ротацией протезов</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EA814B" w14:textId="6A15905C" w:rsidR="007A7188" w:rsidRPr="008526F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8526F2">
              <w:rPr>
                <w:rFonts w:cs="Times New Roman"/>
                <w:color w:val="943634" w:themeColor="accent2" w:themeShade="BF"/>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6ED1FF" w14:textId="5850119B" w:rsidR="007A7188" w:rsidRPr="008526F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943634" w:themeColor="accent2" w:themeShade="BF"/>
                <w:sz w:val="24"/>
                <w:szCs w:val="24"/>
                <w:lang w:val="uk-UA"/>
              </w:rPr>
            </w:pPr>
            <w:r w:rsidRPr="008526F2">
              <w:rPr>
                <w:rFonts w:cs="Times New Roman"/>
                <w:color w:val="943634" w:themeColor="accent2" w:themeShade="BF"/>
                <w:sz w:val="24"/>
                <w:szCs w:val="24"/>
                <w:lang w:val="uk-UA"/>
              </w:rPr>
              <w:t>East European Scientific Journal, 2020, №1(52), part 1, p.46-53. https://eesa-journal.com/2020/02/17/gistologicheskie-izmeneniya-bolshoj-grudnoj-myshcy-posle-pervichnoj-augmentacionnoj-mammoplastiki-i-ix-svyaz-s-rotaciej-protezov-46-53/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7ADC83" w14:textId="12C04EA3" w:rsidR="007A7188" w:rsidRPr="008526F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8526F2">
              <w:rPr>
                <w:rFonts w:cs="Times New Roman"/>
                <w:color w:val="943634" w:themeColor="accent2" w:themeShade="BF"/>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A3BE6" w14:textId="76958932" w:rsidR="007A7188" w:rsidRPr="008526F2"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943634" w:themeColor="accent2" w:themeShade="BF"/>
                <w:sz w:val="24"/>
                <w:szCs w:val="24"/>
                <w:lang w:val="uk-UA"/>
              </w:rPr>
            </w:pPr>
            <w:r w:rsidRPr="008526F2">
              <w:rPr>
                <w:rFonts w:cs="Times New Roman"/>
                <w:color w:val="943634" w:themeColor="accent2" w:themeShade="BF"/>
                <w:sz w:val="24"/>
                <w:szCs w:val="24"/>
                <w:lang w:val="uk-UA"/>
              </w:rPr>
              <w:t>Захарцева О.И., Сусак Я.М., Маркулан Л.Ю., Храпач В.В.</w:t>
            </w:r>
          </w:p>
        </w:tc>
      </w:tr>
      <w:tr w:rsidR="007A7188" w:rsidRPr="00AE25B6" w14:paraId="0F00D66E"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E2571" w14:textId="089E4827"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18</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F51A5" w14:textId="429711C9" w:rsidR="007A7188" w:rsidRPr="00CE075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943634" w:themeColor="accent2" w:themeShade="BF"/>
                <w:sz w:val="24"/>
                <w:szCs w:val="24"/>
                <w:lang w:val="uk-UA"/>
              </w:rPr>
            </w:pPr>
            <w:r w:rsidRPr="00CE0751">
              <w:rPr>
                <w:rFonts w:cs="Times New Roman"/>
                <w:color w:val="943634" w:themeColor="accent2" w:themeShade="BF"/>
                <w:sz w:val="24"/>
                <w:szCs w:val="24"/>
                <w:lang w:val="uk-UA"/>
              </w:rPr>
              <w:t>Quality of life of the women with breast asymmetry, influence of personified augmentation mamoplastics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2BE881" w14:textId="38921D9E" w:rsidR="007A7188" w:rsidRPr="00CE075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CE0751">
              <w:rPr>
                <w:rFonts w:cs="Times New Roman"/>
                <w:color w:val="943634" w:themeColor="accent2" w:themeShade="BF"/>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3743C" w14:textId="588708D2" w:rsidR="007A7188" w:rsidRPr="00CE075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943634" w:themeColor="accent2" w:themeShade="BF"/>
                <w:sz w:val="24"/>
                <w:szCs w:val="24"/>
                <w:lang w:val="uk-UA"/>
              </w:rPr>
            </w:pPr>
            <w:r w:rsidRPr="00CE0751">
              <w:rPr>
                <w:rFonts w:cs="Times New Roman"/>
                <w:color w:val="943634" w:themeColor="accent2" w:themeShade="BF"/>
                <w:sz w:val="24"/>
                <w:szCs w:val="24"/>
                <w:lang w:val="uk-UA"/>
              </w:rPr>
              <w:t>Восточно Европейский Научный Журнал. Медицинские науки. 2020/07/17; 58(3):41-49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ECD55" w14:textId="4F6A32A2" w:rsidR="007A7188" w:rsidRPr="00CE075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CE0751">
              <w:rPr>
                <w:rFonts w:cs="Times New Roman"/>
                <w:color w:val="943634" w:themeColor="accent2" w:themeShade="BF"/>
                <w:sz w:val="24"/>
                <w:szCs w:val="24"/>
                <w:lang w:val="uk-UA"/>
              </w:rPr>
              <w:t>8</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E7FDCF" w14:textId="38256298" w:rsidR="007A7188" w:rsidRPr="00CE0751"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943634" w:themeColor="accent2" w:themeShade="BF"/>
                <w:sz w:val="24"/>
                <w:szCs w:val="24"/>
                <w:lang w:val="uk-UA"/>
              </w:rPr>
            </w:pPr>
            <w:r w:rsidRPr="00CE0751">
              <w:rPr>
                <w:rFonts w:cs="Times New Roman"/>
                <w:color w:val="943634" w:themeColor="accent2" w:themeShade="BF"/>
                <w:sz w:val="24"/>
                <w:szCs w:val="24"/>
                <w:lang w:val="uk-UA"/>
              </w:rPr>
              <w:t>Слюсарєв М.І., Маркулан Л.Ю</w:t>
            </w:r>
          </w:p>
        </w:tc>
      </w:tr>
      <w:tr w:rsidR="007A7188" w:rsidRPr="00AE25B6" w14:paraId="5E315D11"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8D041E" w14:textId="5186120A"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19</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3D714" w14:textId="671D4F9E"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05201">
              <w:rPr>
                <w:rFonts w:cs="Times New Roman"/>
                <w:color w:val="00B050"/>
                <w:sz w:val="24"/>
                <w:szCs w:val="24"/>
                <w:lang w:val="uk-UA"/>
              </w:rPr>
              <w:t>Associated projectile inferior vena cava wound with subsequent pulmonary artery missile embolization: a case report and literature review</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BEEE7C" w14:textId="6A843FC8"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5201">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FEB2F" w14:textId="6E8FBE42"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05201">
              <w:rPr>
                <w:rFonts w:cs="Times New Roman"/>
                <w:color w:val="00B050"/>
                <w:sz w:val="24"/>
                <w:szCs w:val="24"/>
                <w:lang w:val="uk-UA"/>
              </w:rPr>
              <w:t>General Surgery, 2021, N1, p.48-59.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7E1F46" w14:textId="1B82EBAE"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5201">
              <w:rPr>
                <w:rFonts w:cs="Times New Roman"/>
                <w:color w:val="00B050"/>
                <w:sz w:val="24"/>
                <w:szCs w:val="24"/>
                <w:lang w:val="uk-UA"/>
              </w:rPr>
              <w:t>11</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298EB" w14:textId="089835E0" w:rsidR="007A7188" w:rsidRPr="00805201"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05201">
              <w:rPr>
                <w:rFonts w:cs="Times New Roman"/>
                <w:color w:val="00B050"/>
                <w:sz w:val="24"/>
                <w:szCs w:val="24"/>
                <w:lang w:val="uk-UA"/>
              </w:rPr>
              <w:t>I. Tsema, I. Khomenko, D. Dubenko</w:t>
            </w:r>
          </w:p>
        </w:tc>
      </w:tr>
      <w:tr w:rsidR="007A7188" w:rsidRPr="00AE25B6" w14:paraId="14A199FA"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99EF9" w14:textId="1EE6FCF8"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lastRenderedPageBreak/>
              <w:t>20</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4655D" w14:textId="6C8E4F8A"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05201">
              <w:rPr>
                <w:rFonts w:cs="Times New Roman"/>
                <w:color w:val="00B050"/>
                <w:sz w:val="24"/>
                <w:szCs w:val="24"/>
                <w:lang w:val="uk-UA"/>
              </w:rPr>
              <w:t>Chronic constipation: modern view on the problem. A review</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016F62" w14:textId="2A8E46E3"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5201">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AF132" w14:textId="2F423FB8"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05201">
              <w:rPr>
                <w:rFonts w:cs="Times New Roman"/>
                <w:color w:val="00B050"/>
                <w:sz w:val="24"/>
                <w:szCs w:val="24"/>
                <w:lang w:val="uk-UA"/>
              </w:rPr>
              <w:t>General Surgery, 2021, N1, p.67-79.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3E8E6" w14:textId="1B9333BD" w:rsidR="007A7188" w:rsidRPr="00805201"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05201">
              <w:rPr>
                <w:rFonts w:cs="Times New Roman"/>
                <w:color w:val="00B050"/>
                <w:sz w:val="24"/>
                <w:szCs w:val="24"/>
                <w:lang w:val="uk-UA"/>
              </w:rPr>
              <w:t>12</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AA250" w14:textId="79348E7B" w:rsidR="007A7188" w:rsidRPr="00805201"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05201">
              <w:rPr>
                <w:rFonts w:cs="Times New Roman"/>
                <w:color w:val="00B050"/>
                <w:sz w:val="24"/>
                <w:szCs w:val="24"/>
                <w:lang w:val="uk-UA"/>
              </w:rPr>
              <w:t>I. M. Leshchyshyn, Y. M. Susak, O. I. Okhots’ka, P. L. Byk, L. Y. Markulan, O. V. Panchuk</w:t>
            </w:r>
          </w:p>
        </w:tc>
      </w:tr>
      <w:tr w:rsidR="007A7188" w:rsidRPr="00AE25B6" w14:paraId="628DBF9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5951F9" w14:textId="3818E6A5"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A8983" w14:textId="1B802309" w:rsidR="007A7188" w:rsidRPr="006E5C9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6E5C92">
              <w:rPr>
                <w:rFonts w:cs="Times New Roman"/>
                <w:color w:val="00B050"/>
                <w:sz w:val="24"/>
                <w:szCs w:val="24"/>
                <w:lang w:val="uk-UA"/>
              </w:rPr>
              <w:t>A case report of severe acute pancreatitis with infected necrosis and concomitant Coronavirus Disease 19 (COVID 19): a nosocomial infection or delayed respiratory manifestation of viral disease?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6A2814" w14:textId="1DCCD116" w:rsidR="007A7188" w:rsidRPr="006E5C9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E5C92">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057AA" w14:textId="557DF10A" w:rsidR="007A7188" w:rsidRPr="006E5C9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6E5C92">
              <w:rPr>
                <w:rFonts w:cs="Times New Roman"/>
                <w:color w:val="00B050"/>
                <w:sz w:val="24"/>
                <w:szCs w:val="24"/>
                <w:lang w:val="uk-UA"/>
              </w:rPr>
              <w:t>General Surgery, 2021, N1, p.42-47.</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FEAC6" w14:textId="5B94E160" w:rsidR="007A7188" w:rsidRPr="006E5C92"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E5C92">
              <w:rPr>
                <w:rFonts w:cs="Times New Roman"/>
                <w:color w:val="00B050"/>
                <w:sz w:val="24"/>
                <w:szCs w:val="24"/>
                <w:lang w:val="uk-UA"/>
              </w:rPr>
              <w:t>5</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E9BD9" w14:textId="79970A6B" w:rsidR="007A7188" w:rsidRPr="006E5C92"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6E5C92">
              <w:rPr>
                <w:rFonts w:cs="Times New Roman"/>
                <w:color w:val="00B050"/>
                <w:sz w:val="24"/>
                <w:szCs w:val="24"/>
                <w:lang w:val="uk-UA"/>
              </w:rPr>
              <w:t>O. Tkachenko, O. Lobanova, L. Skivka</w:t>
            </w:r>
          </w:p>
        </w:tc>
      </w:tr>
      <w:tr w:rsidR="007A7188" w:rsidRPr="00C73520" w14:paraId="061EEDC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A03619" w14:textId="34CDA27B" w:rsidR="007A7188" w:rsidRPr="00AE25B6" w:rsidRDefault="00AE25B6" w:rsidP="007A7188">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22</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85B0A" w14:textId="3277B650" w:rsidR="007A7188" w:rsidRPr="00D33D6A"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D33D6A">
              <w:rPr>
                <w:rFonts w:cs="Times New Roman"/>
                <w:color w:val="00B050"/>
                <w:sz w:val="24"/>
                <w:szCs w:val="24"/>
                <w:lang w:val="uk-UA"/>
              </w:rPr>
              <w:t>Professor Volodymyr Zemskov — a world-renowned Ukrainian surgeon</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D94F25" w14:textId="3599F640" w:rsidR="007A7188" w:rsidRPr="00D33D6A"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33D6A">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E2758" w14:textId="6E88D142" w:rsidR="007A7188" w:rsidRPr="00D33D6A"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D33D6A">
              <w:rPr>
                <w:rFonts w:cs="Times New Roman"/>
                <w:color w:val="00B050"/>
                <w:sz w:val="24"/>
                <w:szCs w:val="24"/>
                <w:lang w:val="uk-UA"/>
              </w:rPr>
              <w:t>General Surgery, 2021, N1, p.6-9.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819D5" w14:textId="11D0D348" w:rsidR="007A7188" w:rsidRPr="00D33D6A" w:rsidRDefault="007A7188" w:rsidP="007A718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D33D6A">
              <w:rPr>
                <w:rFonts w:cs="Times New Roman"/>
                <w:color w:val="00B050"/>
                <w:sz w:val="24"/>
                <w:szCs w:val="24"/>
                <w:lang w:val="uk-UA"/>
              </w:rPr>
              <w:t>3</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3E96D" w14:textId="13461FD7" w:rsidR="007A7188" w:rsidRPr="00D33D6A"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D33D6A">
              <w:rPr>
                <w:rFonts w:cs="Times New Roman"/>
                <w:color w:val="00B050"/>
                <w:sz w:val="24"/>
                <w:szCs w:val="24"/>
                <w:lang w:val="uk-UA"/>
              </w:rPr>
              <w:t>S. Zemskov, D. Dubenko</w:t>
            </w:r>
          </w:p>
        </w:tc>
      </w:tr>
      <w:tr w:rsidR="00D21775" w:rsidRPr="00C73520" w14:paraId="5D865905"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B22282" w14:textId="643937BB" w:rsidR="00D21775"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uk-UA"/>
              </w:rPr>
            </w:pPr>
            <w:r>
              <w:rPr>
                <w:rFonts w:cs="Times New Roman"/>
                <w:sz w:val="24"/>
                <w:szCs w:val="24"/>
                <w:lang w:val="en-US"/>
              </w:rPr>
              <w:t>23</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E29537" w14:textId="29312A26" w:rsidR="00D21775" w:rsidRPr="00F3232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943634" w:themeColor="accent2" w:themeShade="BF"/>
                <w:sz w:val="24"/>
                <w:szCs w:val="24"/>
                <w:lang w:val="uk-UA"/>
              </w:rPr>
            </w:pPr>
            <w:r w:rsidRPr="00F3232C">
              <w:rPr>
                <w:rFonts w:cs="Times New Roman"/>
                <w:color w:val="943634" w:themeColor="accent2" w:themeShade="BF"/>
                <w:sz w:val="24"/>
                <w:szCs w:val="24"/>
                <w:lang w:val="uk-UA"/>
              </w:rPr>
              <w:t>Наружно-внутреннее билиарно-еюнальное дренирование при паллиативном лечении дистальной механической желтухи</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833D77" w14:textId="5E2AC1BB" w:rsidR="00D21775" w:rsidRPr="00F3232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F3232C">
              <w:rPr>
                <w:rFonts w:cs="Times New Roman"/>
                <w:color w:val="943634" w:themeColor="accent2" w:themeShade="BF"/>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9D9F2" w14:textId="2956F92E" w:rsidR="00D21775" w:rsidRPr="00F3232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943634" w:themeColor="accent2" w:themeShade="BF"/>
                <w:sz w:val="24"/>
                <w:szCs w:val="24"/>
                <w:lang w:val="uk-UA"/>
              </w:rPr>
            </w:pPr>
            <w:r w:rsidRPr="00F3232C">
              <w:rPr>
                <w:rFonts w:cs="Times New Roman"/>
                <w:color w:val="943634" w:themeColor="accent2" w:themeShade="BF"/>
                <w:sz w:val="24"/>
                <w:szCs w:val="24"/>
                <w:lang w:val="uk-UA"/>
              </w:rPr>
              <w:t>Хирургия Восточная Европа, 2021, том 10, № 2, С. 205-219.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AD8FA" w14:textId="08A20FD0" w:rsidR="00D21775" w:rsidRPr="00F3232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943634" w:themeColor="accent2" w:themeShade="BF"/>
                <w:sz w:val="24"/>
                <w:szCs w:val="24"/>
                <w:lang w:val="uk-UA"/>
              </w:rPr>
            </w:pPr>
            <w:r w:rsidRPr="00F3232C">
              <w:rPr>
                <w:rFonts w:cs="Times New Roman"/>
                <w:color w:val="943634" w:themeColor="accent2" w:themeShade="BF"/>
                <w:sz w:val="24"/>
                <w:szCs w:val="24"/>
                <w:lang w:val="uk-UA"/>
              </w:rPr>
              <w:t>14</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B2D445" w14:textId="4C455795" w:rsidR="00D21775" w:rsidRPr="00F3232C"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943634" w:themeColor="accent2" w:themeShade="BF"/>
                <w:sz w:val="24"/>
                <w:szCs w:val="24"/>
                <w:lang w:val="uk-UA"/>
              </w:rPr>
            </w:pPr>
            <w:r w:rsidRPr="00F3232C">
              <w:rPr>
                <w:rFonts w:cs="Times New Roman"/>
                <w:color w:val="943634" w:themeColor="accent2" w:themeShade="BF"/>
                <w:sz w:val="24"/>
                <w:szCs w:val="24"/>
                <w:lang w:val="uk-UA"/>
              </w:rPr>
              <w:t>Маркулан Л.Ю., Палиця Р.Я.</w:t>
            </w:r>
          </w:p>
        </w:tc>
      </w:tr>
      <w:tr w:rsidR="00D21775" w:rsidRPr="00C73520" w14:paraId="41089E81"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7DA2C" w14:textId="6424428E"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24</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A9B150" w14:textId="3A152212" w:rsidR="00D21775" w:rsidRPr="0088194F"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8194F">
              <w:rPr>
                <w:rFonts w:cs="Times New Roman"/>
                <w:color w:val="00B050"/>
                <w:sz w:val="24"/>
                <w:szCs w:val="24"/>
                <w:lang w:val="uk-UA"/>
              </w:rPr>
              <w:t>Інфекція жовчновивідних шляхів при паліативному дренуванні у хворих з хілярною злоякісною жовтяницею</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04100D" w14:textId="57C8F211" w:rsidR="00D21775" w:rsidRPr="0088194F"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8194F">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868DD" w14:textId="52FB54BC" w:rsidR="00D21775" w:rsidRPr="0088194F"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8194F">
              <w:rPr>
                <w:rFonts w:cs="Times New Roman"/>
                <w:color w:val="00B050"/>
                <w:sz w:val="24"/>
                <w:szCs w:val="24"/>
                <w:lang w:val="uk-UA"/>
              </w:rPr>
              <w:t>Медицина невідкладних станів, 2021, том 17, № , с. 94-101. DOI: https://doi.org/10.22141/2224-0586.17.2.2021.230653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BAB39" w14:textId="0EEE92FB" w:rsidR="00D21775" w:rsidRPr="0088194F"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8194F">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46161" w14:textId="71896320" w:rsidR="00D21775" w:rsidRPr="0088194F"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8194F">
              <w:rPr>
                <w:rFonts w:cs="Times New Roman"/>
                <w:color w:val="00B050"/>
                <w:sz w:val="24"/>
                <w:szCs w:val="24"/>
                <w:lang w:val="uk-UA"/>
              </w:rPr>
              <w:t>Палиця Р.Я, Маркулан Л.Ю., Максименко М.В.</w:t>
            </w:r>
          </w:p>
        </w:tc>
      </w:tr>
      <w:tr w:rsidR="00D21775" w:rsidRPr="00AE25B6" w14:paraId="4C87E44F"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10306" w14:textId="059A37AC"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25</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DED32" w14:textId="5F8D5524" w:rsidR="00D21775" w:rsidRPr="002F040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2F0400">
              <w:rPr>
                <w:rFonts w:cs="Times New Roman"/>
                <w:color w:val="00B050"/>
                <w:sz w:val="24"/>
                <w:szCs w:val="24"/>
                <w:lang w:val="uk-UA"/>
              </w:rPr>
              <w:t>Dynamics of the serum bilirubin level during bile ducts drainage in patients with hilar tumor stenosis and jaundice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818649" w14:textId="4C082157" w:rsidR="00D21775" w:rsidRPr="002F040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2F0400">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9604F" w14:textId="6EF3E995" w:rsidR="00D21775" w:rsidRPr="002F040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2F0400">
              <w:rPr>
                <w:rFonts w:cs="Times New Roman"/>
                <w:color w:val="00B050"/>
                <w:sz w:val="24"/>
                <w:szCs w:val="24"/>
                <w:lang w:val="uk-UA"/>
              </w:rPr>
              <w:t>Journal of Education, Health and Sport. 2021;11(03): 154-167. eISSN 2391-8306</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07C9C" w14:textId="1E54F74F" w:rsidR="00D21775" w:rsidRPr="002F040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2F0400">
              <w:rPr>
                <w:rFonts w:cs="Times New Roman"/>
                <w:color w:val="00B050"/>
                <w:sz w:val="24"/>
                <w:szCs w:val="24"/>
                <w:lang w:val="uk-UA"/>
              </w:rPr>
              <w:t>13</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93235" w14:textId="3CA0670B" w:rsidR="00D21775" w:rsidRPr="002F040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2F0400">
              <w:rPr>
                <w:rFonts w:cs="Times New Roman"/>
                <w:color w:val="00B050"/>
                <w:sz w:val="24"/>
                <w:szCs w:val="24"/>
                <w:lang w:val="uk-UA"/>
              </w:rPr>
              <w:t>Palytsya R., Markulan L., Tsema Ie., Dubenko D., Batiuk A.</w:t>
            </w:r>
          </w:p>
        </w:tc>
      </w:tr>
      <w:tr w:rsidR="00D21775" w:rsidRPr="00AE25B6" w14:paraId="36E6AF98"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ABE573" w14:textId="68A9D3BF"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26</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E2E58" w14:textId="63C4195B" w:rsidR="00D21775" w:rsidRPr="007851F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7851F0">
              <w:rPr>
                <w:rFonts w:cs="Times New Roman"/>
                <w:color w:val="00B050"/>
                <w:sz w:val="24"/>
                <w:szCs w:val="24"/>
                <w:lang w:val="uk-UA"/>
              </w:rPr>
              <w:t>Assessment of quality of life in patients with cosmetic anterior wall defects, ventral herniation and I-II degree of obesity</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9496F8" w14:textId="750D9F88" w:rsidR="00D21775" w:rsidRPr="007851F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851F0">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0A05A" w14:textId="26AE1EB1" w:rsidR="00D21775" w:rsidRPr="007851F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7851F0">
              <w:rPr>
                <w:rFonts w:cs="Times New Roman"/>
                <w:color w:val="00B050"/>
                <w:sz w:val="24"/>
                <w:szCs w:val="24"/>
                <w:lang w:val="uk-UA"/>
              </w:rPr>
              <w:t>European Journal of Biomedical and Life Sciences, Premier Publishing s.r.o. Vienna. №1-2, 2021, - P. 14-19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48AFD" w14:textId="00DC3091" w:rsidR="00D21775" w:rsidRPr="007851F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7851F0">
              <w:rPr>
                <w:rFonts w:cs="Times New Roman"/>
                <w:color w:val="00B050"/>
                <w:sz w:val="24"/>
                <w:szCs w:val="24"/>
                <w:lang w:val="uk-UA"/>
              </w:rPr>
              <w:t>5</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4F422" w14:textId="1A3FCA00" w:rsidR="00D21775" w:rsidRPr="007851F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7851F0">
              <w:rPr>
                <w:rFonts w:cs="Times New Roman"/>
                <w:color w:val="00B050"/>
                <w:sz w:val="24"/>
                <w:szCs w:val="24"/>
                <w:lang w:val="uk-UA"/>
              </w:rPr>
              <w:t>Panchuk O.V., Markulan L.Y.</w:t>
            </w:r>
          </w:p>
        </w:tc>
      </w:tr>
      <w:tr w:rsidR="00D21775" w:rsidRPr="00AE25B6" w14:paraId="11975261"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FE86BD" w14:textId="3F7353DE"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27</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3CC31" w14:textId="5415CC74" w:rsidR="00D21775" w:rsidRPr="008421EE"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421EE">
              <w:rPr>
                <w:rFonts w:cs="Times New Roman"/>
                <w:color w:val="00B050"/>
                <w:sz w:val="24"/>
                <w:szCs w:val="24"/>
                <w:lang w:val="uk-UA"/>
              </w:rPr>
              <w:t>The impact of minimally invasive palliative decompression of bile ducts on quality of life in patients with distal malignant mechanical jaundice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3D2AE0" w14:textId="63516C36" w:rsidR="00D21775" w:rsidRPr="008421EE"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421EE">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29A42" w14:textId="45B13267" w:rsidR="00D21775" w:rsidRPr="008421EE"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421EE">
              <w:rPr>
                <w:rFonts w:cs="Times New Roman"/>
                <w:color w:val="00B050"/>
                <w:sz w:val="24"/>
                <w:szCs w:val="24"/>
                <w:lang w:val="uk-UA"/>
              </w:rPr>
              <w:t>General Surgery, 2022, N1, p.35-42.</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4A960" w14:textId="39E76AA4" w:rsidR="00D21775" w:rsidRPr="008421EE"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421EE">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281B8" w14:textId="7DF2EB84" w:rsidR="00D21775" w:rsidRPr="008421EE"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421EE">
              <w:rPr>
                <w:rFonts w:cs="Times New Roman"/>
                <w:color w:val="00B050"/>
                <w:sz w:val="24"/>
                <w:szCs w:val="24"/>
                <w:lang w:val="uk-UA"/>
              </w:rPr>
              <w:t>L. Y. Markulan, R. Y. Palytsya, V. V. Teterina</w:t>
            </w:r>
          </w:p>
        </w:tc>
      </w:tr>
      <w:tr w:rsidR="00D21775" w:rsidRPr="00AE25B6" w14:paraId="3B73986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A483B" w14:textId="7B956D28"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lastRenderedPageBreak/>
              <w:t>28</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1BAB3" w14:textId="3083F3B1" w:rsidR="00D21775" w:rsidRPr="00887F3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887F30">
              <w:rPr>
                <w:rFonts w:cs="Times New Roman"/>
                <w:color w:val="00B050"/>
                <w:sz w:val="24"/>
                <w:szCs w:val="24"/>
                <w:lang w:val="uk-UA"/>
              </w:rPr>
              <w:t>Effectiveness of the Erbisol® class in complex treatment of patients with liver cirrhosis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0458DE" w14:textId="51288A5E" w:rsidR="00D21775" w:rsidRPr="00887F3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87F30">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20F99" w14:textId="1B51136A" w:rsidR="00D21775" w:rsidRPr="00887F3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887F30">
              <w:rPr>
                <w:rFonts w:cs="Times New Roman"/>
                <w:color w:val="00B050"/>
                <w:sz w:val="24"/>
                <w:szCs w:val="24"/>
                <w:lang w:val="uk-UA"/>
              </w:rPr>
              <w:t>General Surgery, 2022, N1, p.54-60.</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D16FB" w14:textId="10628621" w:rsidR="00D21775" w:rsidRPr="00887F3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887F30">
              <w:rPr>
                <w:rFonts w:cs="Times New Roman"/>
                <w:color w:val="00B050"/>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77015" w14:textId="2EC05171" w:rsidR="00D21775" w:rsidRPr="00887F3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887F30">
              <w:rPr>
                <w:rFonts w:cs="Times New Roman"/>
                <w:color w:val="00B050"/>
                <w:sz w:val="24"/>
                <w:szCs w:val="24"/>
                <w:lang w:val="uk-UA"/>
              </w:rPr>
              <w:t>I. Slychko, O. Nikolayenko, O. Dyrda, V. Korobko, M. Maksymenko</w:t>
            </w:r>
          </w:p>
        </w:tc>
      </w:tr>
      <w:tr w:rsidR="00D21775" w:rsidRPr="00AE25B6" w14:paraId="67E1B69C"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6F4CE" w14:textId="2EE86702"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29</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A484C" w14:textId="606598CC" w:rsidR="00D21775" w:rsidRPr="00CA3B95"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CA3B95">
              <w:rPr>
                <w:rFonts w:cs="Times New Roman"/>
                <w:color w:val="00B050"/>
                <w:sz w:val="24"/>
                <w:szCs w:val="24"/>
                <w:lang w:val="uk-UA"/>
              </w:rPr>
              <w:t>The impact of biliary drainage mode on bacteriobilia occurrence in patients with hilar malignant obstruction</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744DB2" w14:textId="34A3B82E" w:rsidR="00D21775" w:rsidRPr="00CA3B95"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CA3B95">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58773" w14:textId="07DD9009" w:rsidR="00D21775" w:rsidRPr="00CA3B95"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CA3B95">
              <w:rPr>
                <w:rFonts w:cs="Times New Roman"/>
                <w:color w:val="00B050"/>
                <w:sz w:val="24"/>
                <w:szCs w:val="24"/>
                <w:lang w:val="uk-UA"/>
              </w:rPr>
              <w:t>BIOTECHNOLOGIA ACTA, 2022 V. 15, No 4, Р. 44-46</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9FBD3" w14:textId="59EB5C25" w:rsidR="00D21775" w:rsidRPr="00CA3B95"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CA3B95">
              <w:rPr>
                <w:rFonts w:cs="Times New Roman"/>
                <w:color w:val="00B050"/>
                <w:sz w:val="24"/>
                <w:szCs w:val="24"/>
                <w:lang w:val="uk-UA"/>
              </w:rPr>
              <w:t>2</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EBE92" w14:textId="353ADE18" w:rsidR="00D21775" w:rsidRPr="00CA3B95"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CA3B95">
              <w:rPr>
                <w:rFonts w:cs="Times New Roman"/>
                <w:color w:val="00B050"/>
                <w:sz w:val="24"/>
                <w:szCs w:val="24"/>
                <w:lang w:val="uk-UA"/>
              </w:rPr>
              <w:t>Palitsa R. Y., Markulan L. Yu., Maksуmenko M. V.</w:t>
            </w:r>
          </w:p>
        </w:tc>
      </w:tr>
      <w:tr w:rsidR="00D21775" w:rsidRPr="00C73520" w14:paraId="5A42CC88"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28B22" w14:textId="169E09F9"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30</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07B87" w14:textId="28C81EA7" w:rsidR="00D21775" w:rsidRPr="0067363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color w:val="00B050"/>
                <w:sz w:val="24"/>
                <w:szCs w:val="24"/>
                <w:lang w:val="uk-UA"/>
              </w:rPr>
            </w:pPr>
            <w:r w:rsidRPr="0067363C">
              <w:rPr>
                <w:rFonts w:cs="Times New Roman"/>
                <w:color w:val="00B050"/>
                <w:sz w:val="24"/>
                <w:szCs w:val="24"/>
                <w:lang w:val="uk-UA"/>
              </w:rPr>
              <w:t>An algorithm for the diagnosis of sacrococcygeal pilonidal disease in resource-limited settings</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7FE4A0" w14:textId="204CC1DD" w:rsidR="00D21775" w:rsidRPr="0067363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7363C">
              <w:rPr>
                <w:rFonts w:cs="Times New Roman"/>
                <w:color w:val="00B050"/>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2AE43" w14:textId="3BB602EB" w:rsidR="00D21775" w:rsidRPr="0067363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color w:val="00B050"/>
                <w:sz w:val="24"/>
                <w:szCs w:val="24"/>
                <w:lang w:val="uk-UA"/>
              </w:rPr>
            </w:pPr>
            <w:r w:rsidRPr="0067363C">
              <w:rPr>
                <w:rFonts w:cs="Times New Roman"/>
                <w:color w:val="00B050"/>
                <w:sz w:val="24"/>
                <w:szCs w:val="24"/>
                <w:lang w:val="uk-UA"/>
              </w:rPr>
              <w:t>General Surgery, (3-4), 88–95 2023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3F589" w14:textId="509ABDB9" w:rsidR="00D21775" w:rsidRPr="0067363C"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color w:val="00B050"/>
                <w:sz w:val="24"/>
                <w:szCs w:val="24"/>
                <w:lang w:val="uk-UA"/>
              </w:rPr>
            </w:pPr>
            <w:r w:rsidRPr="0067363C">
              <w:rPr>
                <w:rFonts w:cs="Times New Roman"/>
                <w:color w:val="00B050"/>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F87A1" w14:textId="5B6D3F91" w:rsidR="00D21775" w:rsidRPr="0067363C"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color w:val="00B050"/>
                <w:sz w:val="24"/>
                <w:szCs w:val="24"/>
                <w:lang w:val="uk-UA"/>
              </w:rPr>
            </w:pPr>
            <w:r w:rsidRPr="0067363C">
              <w:rPr>
                <w:rFonts w:cs="Times New Roman"/>
                <w:color w:val="00B050"/>
                <w:sz w:val="24"/>
                <w:szCs w:val="24"/>
                <w:lang w:val="uk-UA"/>
              </w:rPr>
              <w:t>Dubenko, D.</w:t>
            </w:r>
          </w:p>
        </w:tc>
      </w:tr>
      <w:tr w:rsidR="00D21775" w:rsidRPr="00AE25B6" w14:paraId="2529322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053688" w14:textId="709EA8BB"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9E3D0" w14:textId="3D388360"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Results of laparoscopic choledocholithoextraction and choledochoscopy for difficult choledocholithiasis: a single centre experience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756553" w14:textId="3C14C45B"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CF4EC" w14:textId="03BD9FAB"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Загальна хірургія • 2023 • № 1, р. 28-35</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CDE6B" w14:textId="1CA316F9"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7</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DA329" w14:textId="37B51C9C"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Maksimenko M. V., Markulan L.Y.   R. V. Honza R. V.,  Tiuliukin I. I., Volkovetskii V. V.</w:t>
            </w:r>
          </w:p>
        </w:tc>
      </w:tr>
      <w:tr w:rsidR="00D21775" w:rsidRPr="00AE25B6" w14:paraId="3481280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05ACF" w14:textId="017D7232"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32</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88606" w14:textId="2C2AB911"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Neuroprotective properties of xenon. Literature review</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AA7151" w14:textId="7E0A8356"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D62FD" w14:textId="77777777"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Ukrainian Interventional Neuroradiology and Surgery, 45(3), 59-68</w:t>
            </w:r>
          </w:p>
          <w:p w14:paraId="5DCA01CC" w14:textId="3DAB81B7"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2023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B3D2FE" w14:textId="779C226B"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9</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2129E" w14:textId="3BE15403"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Striepetova, O., Kulivec, O., Yaroslavska, S., Voloshyna, N., Maksymenko, M., Chabanovych, N., &amp; Hizhnyak, K.</w:t>
            </w:r>
          </w:p>
        </w:tc>
      </w:tr>
      <w:tr w:rsidR="00D21775" w:rsidRPr="00C73520" w14:paraId="3C186BDF"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AE82E" w14:textId="378033EA"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33</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A360D" w14:textId="2E355F7B"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Quantitative assessment of the breast implant malposition after augmentation mammaplasty</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688EFA" w14:textId="509CC527"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1E934" w14:textId="29445059"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Загальна хірургія • 2023 • № 2 (5) 47-53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C6EAB" w14:textId="3CCB1E61"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E7CD8" w14:textId="575943FB"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Mohammad А. B. І.</w:t>
            </w:r>
          </w:p>
        </w:tc>
      </w:tr>
      <w:tr w:rsidR="00D21775" w:rsidRPr="00C73520" w14:paraId="7A9590CF"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B9070" w14:textId="5E5230F5"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34</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1044A" w14:textId="1691DEBC"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Management of breast implant malposition. Literature review</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DE3811" w14:textId="751A9102"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19ABF6" w14:textId="1739FB35"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Загальна хірургія • 2023 • № 2 (5) 47-53 Р. 76-89</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6B04B" w14:textId="2666CEF0"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13</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6025D" w14:textId="511D86E2"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Mohammad А. B. І.</w:t>
            </w:r>
          </w:p>
        </w:tc>
      </w:tr>
      <w:tr w:rsidR="00D21775" w:rsidRPr="00C73520" w14:paraId="30D6531A"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EA2F2" w14:textId="01CAEC09"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35</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8DC10E" w14:textId="6BD1C803"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Breast implants malposition prevention after aesthetic augmentation mammoplasty</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341732" w14:textId="69F31B5D"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AB33A" w14:textId="2E6DBDCA"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ScienceRise: Medical Science, (5(56), 4–10. 2023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A9EA7" w14:textId="4316C3A7"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51368" w14:textId="5B5CAC44"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Mohammad, A. B. I.</w:t>
            </w:r>
          </w:p>
        </w:tc>
      </w:tr>
      <w:tr w:rsidR="00D21775" w:rsidRPr="00C73520" w14:paraId="7CE0A553"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F9A36" w14:textId="716A3B87"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36</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BF5A9" w14:textId="0D499B4D"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Endovascular treatment of post-thrombotic syndrome of the lower extremities caused by combat trauma. Clinical case.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7C51E7" w14:textId="5BD79058"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EC7E9" w14:textId="77C962B9"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(3-4), 61–67 2023</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2809F1" w14:textId="03DD3C7C"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6</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2234A" w14:textId="59661C77"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Karpenko, K.</w:t>
            </w:r>
          </w:p>
        </w:tc>
      </w:tr>
      <w:tr w:rsidR="00D21775" w:rsidRPr="00AE25B6" w14:paraId="592495EF"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51DC8" w14:textId="656F42D3"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lastRenderedPageBreak/>
              <w:t>37</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646250" w14:textId="01CD2620"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Endoscopic transluminal necrosectomy in the complex treatment of a patient with acute infected necrotizing pancreatitis. Clinical case</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1C7D0A" w14:textId="363C454F"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F5CAA3" w14:textId="413BBD92"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2024,. (3), 54–62</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BBF89" w14:textId="2BE45AAA"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8</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FA90A" w14:textId="7276F050"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N. V. Puzyr , A. Y. Tkachenko, M. V. Maksymenko, L. O. Pererva, V. V. Volkovetskii</w:t>
            </w:r>
          </w:p>
        </w:tc>
      </w:tr>
      <w:tr w:rsidR="00D21775" w:rsidRPr="00AE25B6" w14:paraId="07444F64" w14:textId="77777777" w:rsidTr="00D110B7">
        <w:trPr>
          <w:gridBefore w:val="1"/>
          <w:wBefore w:w="39" w:type="dxa"/>
          <w:trHeight w:val="1500"/>
        </w:trPr>
        <w:tc>
          <w:tcPr>
            <w:tcW w:w="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788B6" w14:textId="211C38E9" w:rsidR="00D21775" w:rsidRPr="00AE25B6" w:rsidRDefault="00AE25B6" w:rsidP="00D21775">
            <w:pPr>
              <w:pStyle w:val="a7"/>
              <w:pBdr>
                <w:top w:val="none" w:sz="0" w:space="0" w:color="auto"/>
                <w:left w:val="none" w:sz="0" w:space="0" w:color="auto"/>
                <w:bottom w:val="none" w:sz="0" w:space="0" w:color="auto"/>
                <w:right w:val="none" w:sz="0" w:space="0" w:color="auto"/>
                <w:bar w:val="none" w:sz="0" w:color="auto"/>
              </w:pBdr>
              <w:tabs>
                <w:tab w:val="left" w:pos="720"/>
              </w:tabs>
              <w:jc w:val="center"/>
              <w:rPr>
                <w:rFonts w:cs="Times New Roman"/>
                <w:sz w:val="24"/>
                <w:szCs w:val="24"/>
                <w:lang w:val="en-US"/>
              </w:rPr>
            </w:pPr>
            <w:r>
              <w:rPr>
                <w:rFonts w:cs="Times New Roman"/>
                <w:sz w:val="24"/>
                <w:szCs w:val="24"/>
                <w:lang w:val="en-US"/>
              </w:rPr>
              <w:t>38</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4A64D" w14:textId="57EE34FB"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Choledochoscopy in the laparoscopic treatment of patients with choledocholithiasis: a single-centre study</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DCCAC3" w14:textId="68736E34"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Стаття</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7F2C" w14:textId="2F57A5BF"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General Surgery, 2024,. (1), 50–58.</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A76C8" w14:textId="507E5698" w:rsidR="00D21775" w:rsidRPr="00C73520" w:rsidRDefault="00D21775" w:rsidP="00D21775">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8</w:t>
            </w: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B882F" w14:textId="19CCE6A1" w:rsidR="00D21775" w:rsidRPr="00C73520" w:rsidRDefault="00D21775" w:rsidP="00D21775">
            <w:pPr>
              <w:pBdr>
                <w:top w:val="none" w:sz="0" w:space="0" w:color="auto"/>
                <w:left w:val="none" w:sz="0" w:space="0" w:color="auto"/>
                <w:bottom w:val="none" w:sz="0" w:space="0" w:color="auto"/>
                <w:right w:val="none" w:sz="0" w:space="0" w:color="auto"/>
                <w:bar w:val="none" w:sz="0" w:color="auto"/>
              </w:pBdr>
              <w:tabs>
                <w:tab w:val="left" w:pos="708"/>
                <w:tab w:val="left" w:pos="1416"/>
              </w:tabs>
              <w:jc w:val="center"/>
              <w:rPr>
                <w:rFonts w:cs="Times New Roman"/>
                <w:sz w:val="24"/>
                <w:szCs w:val="24"/>
                <w:lang w:val="uk-UA"/>
              </w:rPr>
            </w:pPr>
            <w:r w:rsidRPr="00C73520">
              <w:rPr>
                <w:rFonts w:cs="Times New Roman"/>
                <w:sz w:val="24"/>
                <w:szCs w:val="24"/>
                <w:lang w:val="uk-UA"/>
              </w:rPr>
              <w:t>Maksimenko, M., Markulan, L., Volkovetskii, V.</w:t>
            </w:r>
          </w:p>
        </w:tc>
      </w:tr>
    </w:tbl>
    <w:p w14:paraId="12932CFA" w14:textId="77777777" w:rsidR="005C16E8" w:rsidRPr="00D110B7" w:rsidRDefault="005C16E8">
      <w:pPr>
        <w:rPr>
          <w:lang w:val="uk-UA"/>
        </w:rPr>
      </w:pPr>
    </w:p>
    <w:tbl>
      <w:tblPr>
        <w:tblW w:w="103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707"/>
        <w:gridCol w:w="3008"/>
        <w:gridCol w:w="1238"/>
        <w:gridCol w:w="2477"/>
        <w:gridCol w:w="707"/>
        <w:gridCol w:w="2233"/>
      </w:tblGrid>
      <w:tr w:rsidR="00F05613" w:rsidRPr="00C73520" w14:paraId="7B3BA50E" w14:textId="77777777">
        <w:trPr>
          <w:trHeight w:val="958"/>
        </w:trPr>
        <w:tc>
          <w:tcPr>
            <w:tcW w:w="1037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84B59" w14:textId="77777777" w:rsidR="00F05613" w:rsidRPr="00C73520" w:rsidRDefault="00F05613" w:rsidP="00F0561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bCs/>
                <w:sz w:val="24"/>
                <w:szCs w:val="24"/>
                <w:lang w:val="uk-UA"/>
              </w:rPr>
            </w:pPr>
          </w:p>
          <w:p w14:paraId="45E4F299" w14:textId="77777777" w:rsidR="00F05613" w:rsidRPr="00C73520" w:rsidRDefault="00F05613" w:rsidP="00F0561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C73520">
              <w:rPr>
                <w:rFonts w:cs="Times New Roman"/>
                <w:b/>
                <w:bCs/>
                <w:sz w:val="24"/>
                <w:szCs w:val="24"/>
                <w:lang w:val="uk-UA"/>
              </w:rPr>
              <w:t>ІІІ. Патенти на винахід</w:t>
            </w:r>
          </w:p>
        </w:tc>
      </w:tr>
      <w:tr w:rsidR="00F05613" w:rsidRPr="00AE25B6" w14:paraId="4AE79D9A"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8033F" w14:textId="3B69C6A3"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39</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156CA" w14:textId="07D63D3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Дренаж для холангіостоми із контролем стану черевної порожнини</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CB4121" w14:textId="7744DD16"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E35E0" w14:textId="6042FFF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№156970 від 28.08.2024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5B6A2" w14:textId="77777777"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2C19D4" w14:textId="4D00603A"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Пузир Н.В.,  Волковецький В.В., Слічко І.Й.</w:t>
            </w:r>
          </w:p>
        </w:tc>
      </w:tr>
      <w:tr w:rsidR="00F05613" w:rsidRPr="00C73520" w14:paraId="31B6F6A3"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F620F" w14:textId="0642E7F0"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40</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E19384" w14:textId="454FE0E1"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Інструмент для лапароскопічної літоекстракції фіксованих конкрементів загальної жовчної протоки</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E52664" w14:textId="7188F510"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EA96A" w14:textId="237E8D03"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№156113 від 08.05.2024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60E3E" w14:textId="2E2E4D2A"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D25FC" w14:textId="1972BE64"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Волковецький В.В., Максименко М.В., Слічко І.Й., Пузир Н.В.</w:t>
            </w:r>
          </w:p>
        </w:tc>
      </w:tr>
      <w:tr w:rsidR="00F05613" w:rsidRPr="00C73520" w14:paraId="06508CF1"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98B03" w14:textId="25423D3C"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41</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6D2BF" w14:textId="7B82E084"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Ендоскопічний дилататор сфінктера Одді</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DFCF5E" w14:textId="4736BC26"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304CB" w14:textId="0E0B191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№156112 від 08.05.2024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BA9B3" w14:textId="19DCC8BC"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A2815" w14:textId="23A10C31"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Максименко М.В., Пузир Н.В.,  Волковецький В.В., Слічко І.Й.</w:t>
            </w:r>
          </w:p>
        </w:tc>
      </w:tr>
      <w:tr w:rsidR="00F05613" w:rsidRPr="00C73520" w14:paraId="0ED43785"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29E48" w14:textId="2E69C931"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42</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EFC6F" w14:textId="696D729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Багаторазові біопсійні щипці</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2704B7" w14:textId="0DB736F4"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CCAE2" w14:textId="3B917D40"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№156111 від 08.05.2024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FF0E2" w14:textId="666D0E5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8CB19" w14:textId="46FA98C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Максименко М.В., Пузир Н.В.,  Волковецький В.В., Слічко І.Й.</w:t>
            </w:r>
          </w:p>
        </w:tc>
      </w:tr>
      <w:tr w:rsidR="00F05613" w:rsidRPr="00C73520" w14:paraId="604AA937"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09DF4" w14:textId="76E9A4BE"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43</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8719B" w14:textId="7BB2ADA3"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Штовхач для ендобіліарної транслокації конкрементів</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AB2A97" w14:textId="7D34CDC5"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DB02F" w14:textId="4F3B9922"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№156315 від 05.06.2024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ACBFEF" w14:textId="66C376C0"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C0AE4" w14:textId="6497BAFB"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Максименко М.В., Пузир Н.В.,  Волковецький В.В., Слічко І.Й</w:t>
            </w:r>
          </w:p>
        </w:tc>
      </w:tr>
      <w:tr w:rsidR="00F05613" w:rsidRPr="00C73520" w14:paraId="20B4B4D7"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046D7" w14:textId="2BAADDDC"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44</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A9586" w14:textId="7EDCC2A8"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Лапароскопічний дилататор сфінктера загальної жовчної протоки</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27136B" w14:textId="4B0BCB4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0AC44" w14:textId="66750B8E"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№156216 від 22.05.2024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D6F9D" w14:textId="1E835A90"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FD2BF" w14:textId="2332AEB8"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Максименко М.В., Пузир Н.В., Коротя М.В.,  Волковецький В.В., Слічко І.Й.</w:t>
            </w:r>
          </w:p>
        </w:tc>
      </w:tr>
      <w:tr w:rsidR="00F05613" w:rsidRPr="00C73520" w14:paraId="47ACFCBB"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7BB7B" w14:textId="53FA5047"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45</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D064EE" w14:textId="368B8943"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Дренаж для зовнішньо-внутрішнього біліарно-єюнального дренування</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BCD30E" w14:textId="5F187F79"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99CB3" w14:textId="00A47862"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на корисну модель  №156217  Від 22.05.2024</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D45FC" w14:textId="49DF27CA"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2AEEA" w14:textId="6F8C7081"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Максименко М.В., Маркулан Л.Ю., Волковецький В.В., Слічко І.Й</w:t>
            </w:r>
          </w:p>
        </w:tc>
      </w:tr>
      <w:tr w:rsidR="00F05613" w:rsidRPr="00C73520" w14:paraId="6B742085"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8F9BB" w14:textId="53C92C82"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lastRenderedPageBreak/>
              <w:t>46</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716269" w14:textId="191662B5"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Спосіб лікування гострого біліарного панкреатиту, ускладненого холедохолітіазом та синдромом механічної жовтяниці в ранній фазі захворювання</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D92A23" w14:textId="46B899CC"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2724E" w14:textId="0A5EF4C9"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України на корисну модель № 127124 МПК A61B 17/94 (2006.01)</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80244" w14:textId="15BBC567"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B9BC9" w14:textId="7A4A76C8"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 xml:space="preserve">Цимбалюк Р.С.,  Ткаченко О.А., Максименко М.В.,  Тюлюкін І. О.   </w:t>
            </w:r>
          </w:p>
        </w:tc>
      </w:tr>
      <w:tr w:rsidR="00F05613" w:rsidRPr="00C73520" w14:paraId="1507CA91"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AB34BE" w14:textId="54E3BA5E" w:rsidR="00F05613" w:rsidRPr="00AE25B6" w:rsidRDefault="00AE25B6"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47</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3020B" w14:textId="47F7B258"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Спосіб лікування гострого біліарного панкреатиту із застосуванням ендоскопічного інтрахоледохіального введення озоно-кисневої суміші</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420922" w14:textId="6C0DE15C"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52C7A" w14:textId="001ED6FF"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України на корисну модель № 127123 МПК A61B 17/94 (2006.01) A61F 2/82 (2013.01) A61K 47/08 (2006.01) A61P 1/18 (2006.01)</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816F7" w14:textId="38C7B35A"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5E8FC" w14:textId="121E8B03" w:rsidR="00F05613" w:rsidRPr="00C73520" w:rsidRDefault="00F05613" w:rsidP="00F05613">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Цимбалюк Р.С., Насташенко І.Л., Ткаченко О.А., Максименко М.В.</w:t>
            </w:r>
          </w:p>
        </w:tc>
      </w:tr>
      <w:tr w:rsidR="00A41FE8" w:rsidRPr="00DF1606" w14:paraId="38A8D8EF"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F6BE8" w14:textId="6FDB246A" w:rsidR="00A41FE8" w:rsidRPr="00AE25B6" w:rsidRDefault="00AE25B6" w:rsidP="00A41FE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48</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BA7AF" w14:textId="5B10E00A"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Пристрій для гібридного трансгастрального дренування інфікованих рідинних скупчень сальникової сумки під навігаційним ультразвуковим та ендоскопічним контролем</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5C968D" w14:textId="316FB4D4"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87EFC" w14:textId="2578F0A6"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України на корисну модель №158354</w:t>
            </w:r>
            <w:r>
              <w:rPr>
                <w:rFonts w:cs="Times New Roman"/>
                <w:sz w:val="24"/>
                <w:szCs w:val="24"/>
                <w:lang w:val="uk-UA"/>
              </w:rPr>
              <w:t xml:space="preserve"> від 22.01.2025</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C4244" w14:textId="2BB4DCA8"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1F664" w14:textId="77777777"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Дирда О.О.</w:t>
            </w:r>
          </w:p>
          <w:p w14:paraId="6B8717CC" w14:textId="18D6409C"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Пузир Н.В.</w:t>
            </w:r>
          </w:p>
        </w:tc>
      </w:tr>
      <w:tr w:rsidR="00A41FE8" w:rsidRPr="00AE25B6" w14:paraId="73699AE4" w14:textId="77777777" w:rsidTr="0077641A">
        <w:trPr>
          <w:trHeight w:val="1271"/>
        </w:trPr>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CCB3B" w14:textId="75DEBC40" w:rsidR="00A41FE8" w:rsidRPr="00AE25B6" w:rsidRDefault="00AE25B6" w:rsidP="00A41FE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en-US"/>
              </w:rPr>
            </w:pPr>
            <w:r>
              <w:rPr>
                <w:rFonts w:cs="Times New Roman"/>
                <w:sz w:val="24"/>
                <w:szCs w:val="24"/>
                <w:lang w:val="en-US"/>
              </w:rPr>
              <w:t>49</w:t>
            </w:r>
          </w:p>
        </w:tc>
        <w:tc>
          <w:tcPr>
            <w:tcW w:w="3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D475D" w14:textId="47550F9E"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s>
              <w:jc w:val="center"/>
              <w:rPr>
                <w:rFonts w:cs="Times New Roman"/>
                <w:sz w:val="24"/>
                <w:szCs w:val="24"/>
                <w:lang w:val="uk-UA"/>
              </w:rPr>
            </w:pPr>
            <w:r w:rsidRPr="00C73520">
              <w:rPr>
                <w:rFonts w:cs="Times New Roman"/>
                <w:sz w:val="24"/>
                <w:szCs w:val="24"/>
                <w:lang w:val="uk-UA"/>
              </w:rPr>
              <w:t>Спосіб лікування гострого біліарного панкреатиту у пацієнтів з біліарною гіпертензією невстановленої етіології</w:t>
            </w:r>
          </w:p>
        </w:tc>
        <w:tc>
          <w:tcPr>
            <w:tcW w:w="12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2785B7" w14:textId="2A39BC32"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s>
              <w:jc w:val="center"/>
              <w:rPr>
                <w:rFonts w:cs="Times New Roman"/>
                <w:sz w:val="24"/>
                <w:szCs w:val="24"/>
                <w:lang w:val="uk-UA"/>
              </w:rPr>
            </w:pPr>
            <w:r w:rsidRPr="00C73520">
              <w:rPr>
                <w:rFonts w:cs="Times New Roman"/>
                <w:sz w:val="24"/>
                <w:szCs w:val="24"/>
                <w:lang w:val="uk-UA"/>
              </w:rPr>
              <w:t>Патент на корисну модель</w:t>
            </w:r>
          </w:p>
        </w:tc>
        <w:tc>
          <w:tcPr>
            <w:tcW w:w="24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18989" w14:textId="127A187F"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Патент України на корисну модель UA127122.</w:t>
            </w:r>
          </w:p>
        </w:tc>
        <w:tc>
          <w:tcPr>
            <w:tcW w:w="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60E42" w14:textId="03F58E47"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jc w:val="center"/>
              <w:rPr>
                <w:rFonts w:cs="Times New Roman"/>
                <w:sz w:val="24"/>
                <w:szCs w:val="24"/>
                <w:lang w:val="uk-UA"/>
              </w:rPr>
            </w:pPr>
            <w:r w:rsidRPr="00C73520">
              <w:rPr>
                <w:rFonts w:cs="Times New Roman"/>
                <w:sz w:val="24"/>
                <w:szCs w:val="24"/>
                <w:lang w:val="uk-UA"/>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DCA60" w14:textId="2820024A" w:rsidR="00A41FE8" w:rsidRPr="00C73520" w:rsidRDefault="00A41FE8" w:rsidP="00A41FE8">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s>
              <w:jc w:val="center"/>
              <w:rPr>
                <w:rFonts w:cs="Times New Roman"/>
                <w:sz w:val="24"/>
                <w:szCs w:val="24"/>
                <w:lang w:val="uk-UA"/>
              </w:rPr>
            </w:pPr>
            <w:r w:rsidRPr="00C73520">
              <w:rPr>
                <w:rFonts w:cs="Times New Roman"/>
                <w:sz w:val="24"/>
                <w:szCs w:val="24"/>
                <w:lang w:val="uk-UA"/>
              </w:rPr>
              <w:t>Цимбалюк Р.С., Пахолюк С.І., Максименко М.В., Тюлюкін І.О.</w:t>
            </w:r>
          </w:p>
        </w:tc>
      </w:tr>
    </w:tbl>
    <w:p w14:paraId="7D0F649C" w14:textId="77777777" w:rsidR="00C40DDC" w:rsidRPr="00C73520"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p>
    <w:p w14:paraId="52939E05" w14:textId="77777777" w:rsidR="00C40DDC" w:rsidRDefault="00C40DDC">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p>
    <w:tbl>
      <w:tblPr>
        <w:tblW w:w="103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706"/>
        <w:gridCol w:w="3007"/>
        <w:gridCol w:w="1237"/>
        <w:gridCol w:w="2476"/>
        <w:gridCol w:w="885"/>
        <w:gridCol w:w="2054"/>
      </w:tblGrid>
      <w:tr w:rsidR="00C73520" w:rsidRPr="00C73520" w14:paraId="15CCBC0D" w14:textId="77777777" w:rsidTr="00C73520">
        <w:trPr>
          <w:trHeight w:val="958"/>
        </w:trPr>
        <w:tc>
          <w:tcPr>
            <w:tcW w:w="10365"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5553D" w14:textId="77777777" w:rsidR="00C73520" w:rsidRPr="00BA1673" w:rsidRDefault="00C73520" w:rsidP="00C7352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b/>
                <w:bCs/>
                <w:sz w:val="24"/>
                <w:szCs w:val="24"/>
                <w:lang w:val="uk-UA"/>
              </w:rPr>
            </w:pPr>
          </w:p>
          <w:p w14:paraId="3193FFE5" w14:textId="005A7A7E" w:rsidR="00C73520" w:rsidRPr="00C73520" w:rsidRDefault="00C73520" w:rsidP="00C7352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sidRPr="00C73520">
              <w:rPr>
                <w:rFonts w:cs="Times New Roman"/>
                <w:b/>
                <w:bCs/>
                <w:sz w:val="24"/>
                <w:szCs w:val="24"/>
              </w:rPr>
              <w:t>І</w:t>
            </w:r>
            <w:r w:rsidR="005C16E8">
              <w:rPr>
                <w:rFonts w:cs="Times New Roman"/>
                <w:b/>
                <w:bCs/>
                <w:sz w:val="24"/>
                <w:szCs w:val="24"/>
                <w:lang w:val="en-US"/>
              </w:rPr>
              <w:t>V</w:t>
            </w:r>
            <w:r w:rsidRPr="00C73520">
              <w:rPr>
                <w:rFonts w:cs="Times New Roman"/>
                <w:b/>
                <w:bCs/>
                <w:sz w:val="24"/>
                <w:szCs w:val="24"/>
              </w:rPr>
              <w:t>. Основні навчально-методичні роботи</w:t>
            </w:r>
          </w:p>
        </w:tc>
      </w:tr>
      <w:tr w:rsidR="007A7188" w:rsidRPr="00C73520" w14:paraId="449F6E84"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56F99D" w14:textId="4C9B18FC" w:rsidR="007A7188" w:rsidRPr="00AE25B6" w:rsidRDefault="00AE25B6"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t>50</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B2F366" w14:textId="126978B5" w:rsidR="007A7188" w:rsidRPr="00C7352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Pr>
                <w:rFonts w:cs="Times New Roman"/>
                <w:sz w:val="24"/>
                <w:szCs w:val="24"/>
                <w:lang w:val="uk-UA"/>
              </w:rPr>
              <w:t>Застосування тимчасового шунта при вогнепальних пораненнях судин верхніх та нижніх кінцівок: методичні рекомендації</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305117" w14:textId="73486828" w:rsidR="007A7188" w:rsidRPr="00C7352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Pr>
                <w:rFonts w:cs="Times New Roman"/>
                <w:sz w:val="24"/>
                <w:szCs w:val="24"/>
                <w:lang w:val="uk-UA"/>
              </w:rPr>
              <w:t>Методичні рекомендації</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A3D2AC" w14:textId="3BD0AD69" w:rsidR="007A7188" w:rsidRPr="00C7352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Pr>
                <w:rFonts w:cs="Times New Roman"/>
                <w:sz w:val="24"/>
                <w:szCs w:val="24"/>
                <w:lang w:val="uk-UA"/>
              </w:rPr>
              <w:t>К.: ПП «ІНПОЛ ЛТМ», 2022. — 32 с.: іл.</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D5D8DE" w14:textId="4F9957C1" w:rsidR="007A7188" w:rsidRPr="00C7352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Pr>
                <w:rFonts w:cs="Times New Roman"/>
                <w:sz w:val="24"/>
                <w:szCs w:val="24"/>
                <w:lang w:val="uk-UA"/>
              </w:rPr>
              <w:t>32</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ED81F5" w14:textId="4CFC82A1" w:rsidR="007A7188" w:rsidRPr="00C73520" w:rsidRDefault="007A7188" w:rsidP="007A7188">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rPr>
            </w:pPr>
            <w:r>
              <w:rPr>
                <w:rFonts w:cs="Times New Roman"/>
                <w:sz w:val="24"/>
                <w:szCs w:val="24"/>
                <w:lang w:val="uk-UA"/>
              </w:rPr>
              <w:t>К. В. Гуменюк, П. І. Нікульніков, В. М. Роговський, А. П. Казмірчук, С. О. Король, Б. М. Коваль</w:t>
            </w:r>
          </w:p>
        </w:tc>
      </w:tr>
      <w:tr w:rsidR="0083285D" w:rsidRPr="00C73520" w14:paraId="1BE85BF1"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FCE6C" w14:textId="7E1413F0" w:rsidR="0083285D" w:rsidRPr="00AE25B6" w:rsidRDefault="00AE25B6"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t>51</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EE119" w14:textId="2F8E95F3"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Вогнепальні поранення</w:t>
            </w:r>
            <w:r>
              <w:rPr>
                <w:rFonts w:cs="Times New Roman"/>
                <w:sz w:val="24"/>
                <w:szCs w:val="24"/>
                <w:lang w:val="uk-UA"/>
              </w:rPr>
              <w:t xml:space="preserve">. </w:t>
            </w:r>
            <w:r w:rsidRPr="0083285D">
              <w:rPr>
                <w:rFonts w:cs="Times New Roman"/>
                <w:sz w:val="24"/>
                <w:szCs w:val="24"/>
                <w:lang w:val="uk-UA"/>
              </w:rPr>
              <w:t>Сучасні види зброї</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E4A15" w14:textId="5D7F4E82"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Методичні рекомендації</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CE4D6" w14:textId="097308FD"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Електронний репозиторій НМУ ім. О.О. Богомольця, 2024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3E472" w14:textId="222CD918"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25</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34FC6"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Бурка А.О.</w:t>
            </w:r>
          </w:p>
          <w:p w14:paraId="292AB40E"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Коваль Б. М.</w:t>
            </w:r>
          </w:p>
          <w:p w14:paraId="78201A17"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Гонза Р. В.</w:t>
            </w:r>
          </w:p>
          <w:p w14:paraId="71D6454B"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Коротя М.В.</w:t>
            </w:r>
          </w:p>
          <w:p w14:paraId="7C4FC93E" w14:textId="43E6634B"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Маркулан Л.Ю.</w:t>
            </w:r>
          </w:p>
        </w:tc>
      </w:tr>
      <w:tr w:rsidR="0083285D" w:rsidRPr="00C73520" w14:paraId="71A2622B"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BA4E0" w14:textId="2BE8DA3D" w:rsidR="0083285D" w:rsidRPr="00AE25B6" w:rsidRDefault="00AE25B6"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lastRenderedPageBreak/>
              <w:t>52</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0C2E6" w14:textId="0680376A"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Інфекційні ускладнення бойових пошкоджень</w:t>
            </w:r>
            <w:r>
              <w:rPr>
                <w:rFonts w:cs="Times New Roman"/>
                <w:sz w:val="24"/>
                <w:szCs w:val="24"/>
                <w:lang w:val="uk-UA"/>
              </w:rPr>
              <w:t>.</w:t>
            </w:r>
            <w:r w:rsidRPr="0083285D">
              <w:rPr>
                <w:rFonts w:cs="Times New Roman"/>
                <w:sz w:val="24"/>
                <w:szCs w:val="24"/>
                <w:lang w:val="uk-UA"/>
              </w:rPr>
              <w:t xml:space="preserve"> Ранова інфекція.</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1BAC4" w14:textId="300D1CC0"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Методичні рекомендації</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69E77" w14:textId="458F308E"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Електронний репозиторій НМУ ім. О.О. Богомольця, 2024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9E39D" w14:textId="48248C54"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38</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9C2C5"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Коваль Б. М.</w:t>
            </w:r>
          </w:p>
          <w:p w14:paraId="7070C3EC"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Лещишин І.М.</w:t>
            </w:r>
          </w:p>
          <w:p w14:paraId="1AAB917B"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Балабан О. В.</w:t>
            </w:r>
          </w:p>
          <w:p w14:paraId="1C5C129B"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Бик П.Л.</w:t>
            </w:r>
          </w:p>
          <w:p w14:paraId="329DFA91" w14:textId="6B1484A5"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Коротя М.В.</w:t>
            </w:r>
          </w:p>
        </w:tc>
      </w:tr>
      <w:tr w:rsidR="0083285D" w:rsidRPr="00C73520" w14:paraId="1478858E"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DA7EA" w14:textId="3306F967" w:rsidR="0083285D" w:rsidRPr="00AE25B6" w:rsidRDefault="00AE25B6"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t>53</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F8882" w14:textId="685DE351"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Комбіновані радіаційні і хімічні ураження</w:t>
            </w:r>
            <w:r>
              <w:rPr>
                <w:rFonts w:cs="Times New Roman"/>
                <w:sz w:val="24"/>
                <w:szCs w:val="24"/>
                <w:lang w:val="uk-UA"/>
              </w:rPr>
              <w:t xml:space="preserve">. </w:t>
            </w:r>
            <w:r w:rsidRPr="0083285D">
              <w:rPr>
                <w:rFonts w:cs="Times New Roman"/>
                <w:sz w:val="24"/>
                <w:szCs w:val="24"/>
                <w:lang w:val="uk-UA"/>
              </w:rPr>
              <w:t>Термічні пошкодження</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4CE86" w14:textId="2325D9BD"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Методичні рекомендації</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3C8B8" w14:textId="60DD7D70"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Електронний репозиторій НМУ ім. О.О. Богомольця, 2024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7ECBF" w14:textId="39A20874"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29</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AAC89"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Коваль Б. М.</w:t>
            </w:r>
          </w:p>
          <w:p w14:paraId="538340FF"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Гонза Р. В.</w:t>
            </w:r>
            <w:r>
              <w:t xml:space="preserve"> </w:t>
            </w:r>
            <w:r w:rsidRPr="0083285D">
              <w:rPr>
                <w:rFonts w:cs="Times New Roman"/>
                <w:sz w:val="24"/>
                <w:szCs w:val="24"/>
                <w:lang w:val="uk-UA"/>
              </w:rPr>
              <w:t>Максименко М.В.</w:t>
            </w:r>
            <w:r>
              <w:t xml:space="preserve"> </w:t>
            </w:r>
            <w:r w:rsidRPr="0083285D">
              <w:rPr>
                <w:rFonts w:cs="Times New Roman"/>
                <w:sz w:val="24"/>
                <w:szCs w:val="24"/>
                <w:lang w:val="uk-UA"/>
              </w:rPr>
              <w:t>Охоцька О.І.</w:t>
            </w:r>
          </w:p>
          <w:p w14:paraId="2A62342E" w14:textId="76AE3C3F"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Коротя М.В.</w:t>
            </w:r>
          </w:p>
        </w:tc>
      </w:tr>
      <w:tr w:rsidR="0083285D" w:rsidRPr="00C73520" w14:paraId="4DA36EE2"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1F304" w14:textId="68F5024D" w:rsidR="0083285D" w:rsidRPr="00AE25B6" w:rsidRDefault="00AE25B6"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t>54</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4BD23" w14:textId="16C051EA"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Поранення, закриті пошкодження черева, таза і органів таза</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8DC01" w14:textId="2AF5B7EF"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Методичні рекомендації</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CE89B" w14:textId="10A1ED90"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Електронний репозиторій НМУ ім. О.О. Богомольця, 2024</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645EC6" w14:textId="0F43B600"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38</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D648E5"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Бурка А.О.</w:t>
            </w:r>
          </w:p>
          <w:p w14:paraId="6DF8222C"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Бик П. Л.</w:t>
            </w:r>
          </w:p>
          <w:p w14:paraId="7AB0063E"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Гонза Р. В.</w:t>
            </w:r>
          </w:p>
          <w:p w14:paraId="45DA3328"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Лещишин І.М.</w:t>
            </w:r>
          </w:p>
          <w:p w14:paraId="30948AF4" w14:textId="3B063637"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Коротя М.В.</w:t>
            </w:r>
          </w:p>
        </w:tc>
      </w:tr>
      <w:tr w:rsidR="0083285D" w:rsidRPr="00C73520" w14:paraId="05364302" w14:textId="77777777" w:rsidTr="00C73520">
        <w:trPr>
          <w:trHeight w:val="2700"/>
        </w:trPr>
        <w:tc>
          <w:tcPr>
            <w:tcW w:w="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88934" w14:textId="07B3ADA0" w:rsidR="0083285D" w:rsidRPr="00AE25B6" w:rsidRDefault="00AE25B6"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en-US"/>
              </w:rPr>
            </w:pPr>
            <w:r>
              <w:rPr>
                <w:rFonts w:cs="Times New Roman"/>
                <w:sz w:val="24"/>
                <w:szCs w:val="24"/>
                <w:lang w:val="en-US"/>
              </w:rPr>
              <w:t>55</w:t>
            </w:r>
          </w:p>
        </w:tc>
        <w:tc>
          <w:tcPr>
            <w:tcW w:w="30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347B26" w14:textId="63939C1E"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Електронний підручник</w:t>
            </w:r>
            <w:r>
              <w:rPr>
                <w:rFonts w:cs="Times New Roman"/>
                <w:sz w:val="24"/>
                <w:szCs w:val="24"/>
                <w:lang w:val="uk-UA"/>
              </w:rPr>
              <w:t xml:space="preserve"> </w:t>
            </w:r>
            <w:r w:rsidRPr="0083285D">
              <w:rPr>
                <w:rFonts w:cs="Times New Roman"/>
                <w:sz w:val="24"/>
                <w:szCs w:val="24"/>
                <w:lang w:val="uk-UA"/>
              </w:rPr>
              <w:t>за спеціалізацією</w:t>
            </w:r>
            <w:r>
              <w:rPr>
                <w:rFonts w:cs="Times New Roman"/>
                <w:sz w:val="24"/>
                <w:szCs w:val="24"/>
                <w:lang w:val="uk-UA"/>
              </w:rPr>
              <w:t xml:space="preserve"> </w:t>
            </w:r>
            <w:r w:rsidRPr="0083285D">
              <w:rPr>
                <w:rFonts w:cs="Times New Roman"/>
                <w:sz w:val="24"/>
                <w:szCs w:val="24"/>
                <w:lang w:val="uk-UA"/>
              </w:rPr>
              <w:t>«Судинна хірургія»</w:t>
            </w:r>
          </w:p>
        </w:tc>
        <w:tc>
          <w:tcPr>
            <w:tcW w:w="1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54E81" w14:textId="6FD91B19"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Підручник</w:t>
            </w:r>
          </w:p>
        </w:tc>
        <w:tc>
          <w:tcPr>
            <w:tcW w:w="24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815B57" w14:textId="3AAA1816"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Електронний репозиторій НМУ ім. О.О. Богомольця, 2025</w:t>
            </w:r>
          </w:p>
        </w:tc>
        <w:tc>
          <w:tcPr>
            <w:tcW w:w="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A0672" w14:textId="3D57ACA2"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1500</w:t>
            </w:r>
          </w:p>
        </w:tc>
        <w:tc>
          <w:tcPr>
            <w:tcW w:w="20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86E0F"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Миргородський Д.С.</w:t>
            </w:r>
          </w:p>
          <w:p w14:paraId="6946C106"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Зайцев М.А.</w:t>
            </w:r>
          </w:p>
          <w:p w14:paraId="7BA2D5B6"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Іванцок В.М.</w:t>
            </w:r>
          </w:p>
          <w:p w14:paraId="54578E2D" w14:textId="77777777" w:rsid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83285D">
              <w:rPr>
                <w:rFonts w:cs="Times New Roman"/>
                <w:sz w:val="24"/>
                <w:szCs w:val="24"/>
                <w:lang w:val="uk-UA"/>
              </w:rPr>
              <w:t>Селюк В.М.</w:t>
            </w:r>
          </w:p>
          <w:p w14:paraId="74DEC530" w14:textId="254F7A49" w:rsidR="00A477AC" w:rsidRDefault="00A477AC"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A477AC">
              <w:rPr>
                <w:rFonts w:cs="Times New Roman"/>
                <w:sz w:val="24"/>
                <w:szCs w:val="24"/>
                <w:lang w:val="uk-UA"/>
              </w:rPr>
              <w:t>Матвєєв Р.М.</w:t>
            </w:r>
          </w:p>
          <w:p w14:paraId="7693255A" w14:textId="7BAB4DD0" w:rsidR="00A477AC" w:rsidRDefault="00A477AC"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A477AC">
              <w:rPr>
                <w:rFonts w:cs="Times New Roman"/>
                <w:sz w:val="24"/>
                <w:szCs w:val="24"/>
                <w:lang w:val="uk-UA"/>
              </w:rPr>
              <w:t>Коваль Б.М.</w:t>
            </w:r>
          </w:p>
          <w:p w14:paraId="129E4051" w14:textId="0671DFDB" w:rsidR="00A477AC" w:rsidRDefault="00A477AC"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sidRPr="00A477AC">
              <w:rPr>
                <w:rFonts w:cs="Times New Roman"/>
                <w:sz w:val="24"/>
                <w:szCs w:val="24"/>
                <w:lang w:val="uk-UA"/>
              </w:rPr>
              <w:t>Малиновська Л.Б.</w:t>
            </w:r>
          </w:p>
          <w:p w14:paraId="75F64EB4" w14:textId="1E22E6A6" w:rsidR="0083285D" w:rsidRPr="0083285D" w:rsidRDefault="0083285D" w:rsidP="0083285D">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4"/>
                <w:szCs w:val="24"/>
                <w:lang w:val="uk-UA"/>
              </w:rPr>
            </w:pPr>
            <w:r>
              <w:rPr>
                <w:rFonts w:cs="Times New Roman"/>
                <w:sz w:val="24"/>
                <w:szCs w:val="24"/>
                <w:lang w:val="uk-UA"/>
              </w:rPr>
              <w:t xml:space="preserve">… </w:t>
            </w:r>
          </w:p>
        </w:tc>
      </w:tr>
    </w:tbl>
    <w:p w14:paraId="0DC04EA0" w14:textId="77777777" w:rsidR="00C73520" w:rsidRPr="00C73520" w:rsidRDefault="00C73520">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p>
    <w:p w14:paraId="04220EA5" w14:textId="77777777" w:rsidR="00C40DDC" w:rsidRPr="00C73520" w:rsidRDefault="00B679D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r w:rsidRPr="00C73520">
        <w:rPr>
          <w:rFonts w:cs="Times New Roman"/>
          <w:sz w:val="24"/>
          <w:szCs w:val="24"/>
          <w:lang w:val="uk-UA"/>
        </w:rPr>
        <w:t xml:space="preserve">Завідувач кафедри хірургії з курсом невідкладної </w:t>
      </w:r>
    </w:p>
    <w:p w14:paraId="299887D7" w14:textId="77777777" w:rsidR="00B679D3" w:rsidRPr="00C73520" w:rsidRDefault="00B679D3">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r w:rsidRPr="00C73520">
        <w:rPr>
          <w:rFonts w:cs="Times New Roman"/>
          <w:sz w:val="24"/>
          <w:szCs w:val="24"/>
          <w:lang w:val="uk-UA"/>
        </w:rPr>
        <w:t>та судинної хірургії</w:t>
      </w:r>
    </w:p>
    <w:p w14:paraId="5BA009E9" w14:textId="77777777" w:rsidR="00960BEB" w:rsidRPr="00C73520" w:rsidRDefault="00C40DDC">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 xml:space="preserve">Доктор медичних наук професор </w:t>
      </w:r>
      <w:r w:rsidRPr="00C73520">
        <w:rPr>
          <w:rFonts w:cs="Times New Roman"/>
          <w:sz w:val="24"/>
          <w:szCs w:val="24"/>
          <w:lang w:val="uk-UA"/>
        </w:rPr>
        <w:tab/>
      </w:r>
      <w:r w:rsidRPr="00C73520">
        <w:rPr>
          <w:rFonts w:cs="Times New Roman"/>
          <w:sz w:val="24"/>
          <w:szCs w:val="24"/>
          <w:lang w:val="uk-UA"/>
        </w:rPr>
        <w:tab/>
      </w:r>
    </w:p>
    <w:p w14:paraId="25A92270" w14:textId="77777777" w:rsidR="00960BEB" w:rsidRPr="00C73520" w:rsidRDefault="00960BEB">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 xml:space="preserve">Національного медичного університету </w:t>
      </w:r>
    </w:p>
    <w:p w14:paraId="649AE0A7" w14:textId="77777777" w:rsidR="00C40DDC" w:rsidRPr="00C73520" w:rsidRDefault="00960BEB">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 xml:space="preserve"> імені О.О.Богомольця</w:t>
      </w:r>
      <w:r w:rsidR="00C40DDC" w:rsidRPr="00C73520">
        <w:rPr>
          <w:rFonts w:cs="Times New Roman"/>
          <w:sz w:val="24"/>
          <w:szCs w:val="24"/>
          <w:lang w:val="uk-UA"/>
        </w:rPr>
        <w:tab/>
      </w:r>
      <w:r w:rsidR="00C40DDC" w:rsidRPr="00C73520">
        <w:rPr>
          <w:rFonts w:cs="Times New Roman"/>
          <w:sz w:val="24"/>
          <w:szCs w:val="24"/>
          <w:lang w:val="uk-UA"/>
        </w:rPr>
        <w:tab/>
      </w:r>
      <w:r w:rsidR="00C40DDC" w:rsidRPr="00C73520">
        <w:rPr>
          <w:rFonts w:cs="Times New Roman"/>
          <w:sz w:val="24"/>
          <w:szCs w:val="24"/>
          <w:lang w:val="uk-UA"/>
        </w:rPr>
        <w:tab/>
      </w:r>
      <w:r w:rsidR="00C40DDC" w:rsidRPr="00C73520">
        <w:rPr>
          <w:rFonts w:cs="Times New Roman"/>
          <w:sz w:val="24"/>
          <w:szCs w:val="24"/>
          <w:lang w:val="uk-UA"/>
        </w:rPr>
        <w:tab/>
      </w:r>
      <w:r w:rsidRPr="00C73520">
        <w:rPr>
          <w:rFonts w:cs="Times New Roman"/>
          <w:sz w:val="24"/>
          <w:szCs w:val="24"/>
          <w:lang w:val="uk-UA"/>
        </w:rPr>
        <w:tab/>
      </w:r>
      <w:r w:rsidRPr="00C73520">
        <w:rPr>
          <w:rFonts w:cs="Times New Roman"/>
          <w:sz w:val="24"/>
          <w:szCs w:val="24"/>
          <w:lang w:val="uk-UA"/>
        </w:rPr>
        <w:tab/>
      </w:r>
      <w:r w:rsidRPr="00C73520">
        <w:rPr>
          <w:rFonts w:cs="Times New Roman"/>
          <w:sz w:val="24"/>
          <w:szCs w:val="24"/>
          <w:lang w:val="uk-UA"/>
        </w:rPr>
        <w:tab/>
      </w:r>
      <w:r w:rsidR="00C40DDC" w:rsidRPr="00C73520">
        <w:rPr>
          <w:rFonts w:cs="Times New Roman"/>
          <w:sz w:val="24"/>
          <w:szCs w:val="24"/>
          <w:lang w:val="uk-UA"/>
        </w:rPr>
        <w:tab/>
        <w:t>Сусак</w:t>
      </w:r>
      <w:r w:rsidR="00094AC9" w:rsidRPr="00C73520">
        <w:rPr>
          <w:rFonts w:cs="Times New Roman"/>
          <w:sz w:val="24"/>
          <w:szCs w:val="24"/>
          <w:lang w:val="uk-UA"/>
        </w:rPr>
        <w:t xml:space="preserve">  Я.М.</w:t>
      </w:r>
    </w:p>
    <w:p w14:paraId="24A948D3" w14:textId="77777777" w:rsidR="00960BEB" w:rsidRPr="00C73520" w:rsidRDefault="00960BEB">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p>
    <w:p w14:paraId="0D5B9E8C" w14:textId="77777777" w:rsidR="00960BEB" w:rsidRPr="00C73520" w:rsidRDefault="00960BEB">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p>
    <w:p w14:paraId="0EDE16D0" w14:textId="77777777" w:rsidR="00C40DDC" w:rsidRPr="00C73520" w:rsidRDefault="00960BEB">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r w:rsidRPr="00C73520">
        <w:rPr>
          <w:rFonts w:cs="Times New Roman"/>
          <w:sz w:val="24"/>
          <w:szCs w:val="24"/>
          <w:lang w:val="uk-UA"/>
        </w:rPr>
        <w:tab/>
      </w:r>
      <w:r w:rsidRPr="00C73520">
        <w:rPr>
          <w:rFonts w:cs="Times New Roman"/>
          <w:sz w:val="24"/>
          <w:szCs w:val="24"/>
          <w:lang w:val="uk-UA"/>
        </w:rPr>
        <w:tab/>
      </w:r>
    </w:p>
    <w:p w14:paraId="0873A8CB" w14:textId="2E161E8A" w:rsidR="004446B6" w:rsidRPr="00C73520" w:rsidRDefault="001120EA" w:rsidP="00960BEB">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Декан ІІ медичного факультету</w:t>
      </w:r>
    </w:p>
    <w:p w14:paraId="581F281F" w14:textId="77777777" w:rsidR="004446B6" w:rsidRPr="00C73520" w:rsidRDefault="004446B6" w:rsidP="004446B6">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 xml:space="preserve">Національного медичного університету </w:t>
      </w:r>
    </w:p>
    <w:p w14:paraId="3E5305D4" w14:textId="7B723889" w:rsidR="00960BEB" w:rsidRPr="00C73520" w:rsidRDefault="004446B6" w:rsidP="004446B6">
      <w:pPr>
        <w:pBdr>
          <w:top w:val="none" w:sz="0" w:space="0" w:color="auto"/>
          <w:left w:val="none" w:sz="0" w:space="0" w:color="auto"/>
          <w:bottom w:val="none" w:sz="0" w:space="0" w:color="auto"/>
          <w:right w:val="none" w:sz="0" w:space="0" w:color="auto"/>
          <w:bar w:val="none" w:sz="0" w:color="auto"/>
        </w:pBdr>
        <w:rPr>
          <w:rFonts w:cs="Times New Roman"/>
          <w:sz w:val="24"/>
          <w:szCs w:val="24"/>
          <w:lang w:val="uk-UA"/>
        </w:rPr>
      </w:pPr>
      <w:r w:rsidRPr="00C73520">
        <w:rPr>
          <w:rFonts w:cs="Times New Roman"/>
          <w:sz w:val="24"/>
          <w:szCs w:val="24"/>
          <w:lang w:val="uk-UA"/>
        </w:rPr>
        <w:t>імені О.О.Богомольця</w:t>
      </w:r>
      <w:r w:rsidRPr="00C73520">
        <w:rPr>
          <w:rFonts w:cs="Times New Roman"/>
          <w:sz w:val="24"/>
          <w:szCs w:val="24"/>
          <w:lang w:val="uk-UA"/>
        </w:rPr>
        <w:tab/>
      </w:r>
      <w:r w:rsidRPr="00C73520">
        <w:rPr>
          <w:rFonts w:cs="Times New Roman"/>
          <w:sz w:val="24"/>
          <w:szCs w:val="24"/>
          <w:lang w:val="uk-UA"/>
        </w:rPr>
        <w:tab/>
      </w:r>
      <w:r w:rsidR="001120EA" w:rsidRPr="00C73520">
        <w:rPr>
          <w:rFonts w:cs="Times New Roman"/>
          <w:sz w:val="24"/>
          <w:szCs w:val="24"/>
          <w:lang w:val="uk-UA"/>
        </w:rPr>
        <w:tab/>
      </w:r>
      <w:r w:rsidR="001120EA" w:rsidRPr="00C73520">
        <w:rPr>
          <w:rFonts w:cs="Times New Roman"/>
          <w:sz w:val="24"/>
          <w:szCs w:val="24"/>
          <w:lang w:val="uk-UA"/>
        </w:rPr>
        <w:tab/>
      </w:r>
      <w:r w:rsidR="00960BEB" w:rsidRPr="00C73520">
        <w:rPr>
          <w:rFonts w:cs="Times New Roman"/>
          <w:sz w:val="24"/>
          <w:szCs w:val="24"/>
          <w:lang w:val="uk-UA"/>
        </w:rPr>
        <w:t xml:space="preserve"> </w:t>
      </w:r>
      <w:r w:rsidR="00960BEB" w:rsidRPr="00C73520">
        <w:rPr>
          <w:rFonts w:cs="Times New Roman"/>
          <w:sz w:val="24"/>
          <w:szCs w:val="24"/>
          <w:lang w:val="uk-UA"/>
        </w:rPr>
        <w:tab/>
      </w:r>
      <w:r w:rsidR="00960BEB" w:rsidRPr="00C73520">
        <w:rPr>
          <w:rFonts w:cs="Times New Roman"/>
          <w:sz w:val="24"/>
          <w:szCs w:val="24"/>
          <w:lang w:val="uk-UA"/>
        </w:rPr>
        <w:tab/>
      </w:r>
      <w:r w:rsidRPr="00C73520">
        <w:rPr>
          <w:rFonts w:cs="Times New Roman"/>
          <w:sz w:val="24"/>
          <w:szCs w:val="24"/>
          <w:lang w:val="uk-UA"/>
        </w:rPr>
        <w:tab/>
      </w:r>
      <w:r w:rsidRPr="00C73520">
        <w:rPr>
          <w:rFonts w:cs="Times New Roman"/>
          <w:sz w:val="24"/>
          <w:szCs w:val="24"/>
          <w:lang w:val="uk-UA"/>
        </w:rPr>
        <w:tab/>
      </w:r>
      <w:r w:rsidR="008F722A" w:rsidRPr="00C73520">
        <w:rPr>
          <w:rFonts w:cs="Times New Roman"/>
          <w:sz w:val="24"/>
          <w:szCs w:val="24"/>
          <w:lang w:val="uk-UA"/>
        </w:rPr>
        <w:t>Цимбалюк Р.С</w:t>
      </w:r>
      <w:r w:rsidR="001120EA" w:rsidRPr="00C73520">
        <w:rPr>
          <w:rFonts w:cs="Times New Roman"/>
          <w:sz w:val="24"/>
          <w:szCs w:val="24"/>
          <w:lang w:val="uk-UA"/>
        </w:rPr>
        <w:t>.</w:t>
      </w:r>
      <w:r w:rsidR="00960BEB" w:rsidRPr="00C73520">
        <w:rPr>
          <w:rFonts w:cs="Times New Roman"/>
          <w:sz w:val="24"/>
          <w:szCs w:val="24"/>
          <w:lang w:val="uk-UA"/>
        </w:rPr>
        <w:tab/>
      </w:r>
      <w:r w:rsidR="00960BEB" w:rsidRPr="00C73520">
        <w:rPr>
          <w:rFonts w:cs="Times New Roman"/>
          <w:sz w:val="24"/>
          <w:szCs w:val="24"/>
          <w:lang w:val="uk-UA"/>
        </w:rPr>
        <w:tab/>
      </w:r>
      <w:r w:rsidR="00960BEB" w:rsidRPr="00C73520">
        <w:rPr>
          <w:rFonts w:cs="Times New Roman"/>
          <w:sz w:val="24"/>
          <w:szCs w:val="24"/>
          <w:lang w:val="uk-UA"/>
        </w:rPr>
        <w:tab/>
      </w:r>
      <w:r w:rsidR="00960BEB" w:rsidRPr="00C73520">
        <w:rPr>
          <w:rFonts w:cs="Times New Roman"/>
          <w:sz w:val="24"/>
          <w:szCs w:val="24"/>
          <w:lang w:val="uk-UA"/>
        </w:rPr>
        <w:tab/>
      </w:r>
    </w:p>
    <w:p w14:paraId="12136452" w14:textId="77777777" w:rsidR="00C40DDC" w:rsidRPr="00C73520" w:rsidRDefault="00C40DDC" w:rsidP="00960BEB">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imes New Roman"/>
          <w:sz w:val="24"/>
          <w:szCs w:val="24"/>
          <w:lang w:val="uk-UA"/>
        </w:rPr>
      </w:pPr>
    </w:p>
    <w:sectPr w:rsidR="00C40DDC" w:rsidRPr="00C73520" w:rsidSect="00196EE7">
      <w:headerReference w:type="default" r:id="rId7"/>
      <w:footerReference w:type="default" r:id="rId8"/>
      <w:headerReference w:type="first" r:id="rId9"/>
      <w:footerReference w:type="first" r:id="rId10"/>
      <w:pgSz w:w="11900" w:h="16840"/>
      <w:pgMar w:top="680" w:right="386" w:bottom="680" w:left="1134" w:header="709" w:footer="70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A30E" w14:textId="77777777" w:rsidR="00C80BCF" w:rsidRDefault="00C80BCF" w:rsidP="00196EE7">
      <w:pPr>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endnote>
  <w:endnote w:type="continuationSeparator" w:id="0">
    <w:p w14:paraId="02AE1A88" w14:textId="77777777" w:rsidR="00C80BCF" w:rsidRDefault="00C80BCF" w:rsidP="00196EE7">
      <w:pPr>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6F6A" w14:textId="77777777" w:rsidR="00825398" w:rsidRDefault="004446B6">
    <w:pPr>
      <w:pStyle w:val="a7"/>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fldChar w:fldCharType="begin"/>
    </w:r>
    <w:r>
      <w:instrText xml:space="preserve"> PAGE </w:instrText>
    </w:r>
    <w:r>
      <w:fldChar w:fldCharType="separate"/>
    </w:r>
    <w:r>
      <w:rPr>
        <w:noProof/>
      </w:rP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062E2" w14:textId="77777777" w:rsidR="00825398" w:rsidRDefault="00825398">
    <w:pPr>
      <w:pStyle w:val="a7"/>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F194" w14:textId="77777777" w:rsidR="00C80BCF" w:rsidRDefault="00C80BCF" w:rsidP="00196EE7">
      <w:pPr>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footnote>
  <w:footnote w:type="continuationSeparator" w:id="0">
    <w:p w14:paraId="6B7A1DA1" w14:textId="77777777" w:rsidR="00C80BCF" w:rsidRDefault="00C80BCF" w:rsidP="00196EE7">
      <w:pPr>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DB63" w14:textId="77777777" w:rsidR="00825398" w:rsidRDefault="00C80BCF">
    <w:pPr>
      <w:pStyle w:val="a4"/>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60"/>
    </w:pPr>
    <w:r>
      <w:rPr>
        <w:noProof/>
      </w:rPr>
      <w:pict w14:anchorId="0F051CF0">
        <v:rect id="_x0000_s2049" style="position:absolute;margin-left:8in;margin-top:35.5pt;width:11pt;height:11pt;z-index:-251658752;visibility:visible;mso-wrap-distance-left:0;mso-wrap-distance-right:0;mso-position-horizontal-relative:page;mso-position-vertical-relative:page" stroked="f" strokeweight="1pt">
          <v:stroke miterlimit="4"/>
          <v:textbox>
            <w:txbxContent>
              <w:p w14:paraId="5233DE15" w14:textId="77777777" w:rsidR="00825398" w:rsidRDefault="008E1131">
                <w:pPr>
                  <w:pStyle w:val="a4"/>
                  <w:pBdr>
                    <w:top w:val="none" w:sz="0" w:space="0" w:color="auto"/>
                    <w:left w:val="none" w:sz="0" w:space="0" w:color="auto"/>
                    <w:bottom w:val="none" w:sz="0" w:space="0" w:color="auto"/>
                    <w:right w:val="none" w:sz="0" w:space="0" w:color="auto"/>
                    <w:bar w:val="none" w:sz="0" w:color="auto"/>
                  </w:pBdr>
                </w:pPr>
                <w:r>
                  <w:rPr>
                    <w:rStyle w:val="a6"/>
                    <w:rFonts w:cs="Arial Unicode MS"/>
                  </w:rPr>
                  <w:fldChar w:fldCharType="begin"/>
                </w:r>
                <w:r w:rsidR="00825398">
                  <w:rPr>
                    <w:rStyle w:val="a6"/>
                    <w:rFonts w:cs="Arial Unicode MS"/>
                  </w:rPr>
                  <w:instrText xml:space="preserve"> PAGE </w:instrText>
                </w:r>
                <w:r>
                  <w:rPr>
                    <w:rStyle w:val="a6"/>
                    <w:rFonts w:cs="Arial Unicode MS"/>
                  </w:rPr>
                  <w:fldChar w:fldCharType="separate"/>
                </w:r>
                <w:r w:rsidR="004446B6">
                  <w:rPr>
                    <w:rStyle w:val="a6"/>
                    <w:rFonts w:cs="Arial Unicode MS"/>
                    <w:noProof/>
                  </w:rPr>
                  <w:t>29</w:t>
                </w:r>
                <w:r>
                  <w:rPr>
                    <w:rStyle w:val="a6"/>
                    <w:rFonts w:cs="Arial Unicode MS"/>
                  </w:rPr>
                  <w:fldChar w:fldCharType="end"/>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8C68" w14:textId="77777777" w:rsidR="00825398" w:rsidRDefault="00825398">
    <w:pPr>
      <w:pStyle w:val="a7"/>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4C7A"/>
    <w:multiLevelType w:val="hybridMultilevel"/>
    <w:tmpl w:val="67EADF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77C253A"/>
    <w:multiLevelType w:val="hybridMultilevel"/>
    <w:tmpl w:val="CD748E66"/>
    <w:lvl w:ilvl="0" w:tplc="AD926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850123"/>
    <w:multiLevelType w:val="hybridMultilevel"/>
    <w:tmpl w:val="2DC6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6EE7"/>
    <w:rsid w:val="00012B34"/>
    <w:rsid w:val="00034290"/>
    <w:rsid w:val="00041C04"/>
    <w:rsid w:val="0005472D"/>
    <w:rsid w:val="0007076F"/>
    <w:rsid w:val="00094AC9"/>
    <w:rsid w:val="000A228E"/>
    <w:rsid w:val="000A3E41"/>
    <w:rsid w:val="000C258B"/>
    <w:rsid w:val="000E0875"/>
    <w:rsid w:val="001120EA"/>
    <w:rsid w:val="0012100A"/>
    <w:rsid w:val="00130EA8"/>
    <w:rsid w:val="00134607"/>
    <w:rsid w:val="00150305"/>
    <w:rsid w:val="00183CF7"/>
    <w:rsid w:val="00196EE7"/>
    <w:rsid w:val="001F5673"/>
    <w:rsid w:val="00205DC6"/>
    <w:rsid w:val="00212234"/>
    <w:rsid w:val="0021738C"/>
    <w:rsid w:val="00251B47"/>
    <w:rsid w:val="002F0400"/>
    <w:rsid w:val="00303C7D"/>
    <w:rsid w:val="00316FEC"/>
    <w:rsid w:val="00333802"/>
    <w:rsid w:val="00404F74"/>
    <w:rsid w:val="004446B6"/>
    <w:rsid w:val="00462F63"/>
    <w:rsid w:val="00485030"/>
    <w:rsid w:val="004A3AC4"/>
    <w:rsid w:val="004B5803"/>
    <w:rsid w:val="004C68FF"/>
    <w:rsid w:val="00516E06"/>
    <w:rsid w:val="00532EF4"/>
    <w:rsid w:val="005357BD"/>
    <w:rsid w:val="005C16E8"/>
    <w:rsid w:val="005D233C"/>
    <w:rsid w:val="005E6AB9"/>
    <w:rsid w:val="005F20F8"/>
    <w:rsid w:val="00634DE5"/>
    <w:rsid w:val="00637DB1"/>
    <w:rsid w:val="00650C79"/>
    <w:rsid w:val="0067363C"/>
    <w:rsid w:val="006E5C92"/>
    <w:rsid w:val="00705001"/>
    <w:rsid w:val="00741765"/>
    <w:rsid w:val="007538B4"/>
    <w:rsid w:val="00753CCA"/>
    <w:rsid w:val="00754C4E"/>
    <w:rsid w:val="0077641A"/>
    <w:rsid w:val="007826C2"/>
    <w:rsid w:val="007851F0"/>
    <w:rsid w:val="0078620F"/>
    <w:rsid w:val="007A7188"/>
    <w:rsid w:val="007C672E"/>
    <w:rsid w:val="007D4BE6"/>
    <w:rsid w:val="007E3953"/>
    <w:rsid w:val="007E67B3"/>
    <w:rsid w:val="00801E33"/>
    <w:rsid w:val="00805201"/>
    <w:rsid w:val="0080649A"/>
    <w:rsid w:val="00825398"/>
    <w:rsid w:val="00827132"/>
    <w:rsid w:val="0083285D"/>
    <w:rsid w:val="008421EE"/>
    <w:rsid w:val="00846F86"/>
    <w:rsid w:val="008526F2"/>
    <w:rsid w:val="00873319"/>
    <w:rsid w:val="0088194F"/>
    <w:rsid w:val="00887F30"/>
    <w:rsid w:val="008934FD"/>
    <w:rsid w:val="008B244D"/>
    <w:rsid w:val="008C1D5F"/>
    <w:rsid w:val="008D60F7"/>
    <w:rsid w:val="008E1131"/>
    <w:rsid w:val="008F722A"/>
    <w:rsid w:val="00920960"/>
    <w:rsid w:val="00932F30"/>
    <w:rsid w:val="009523F8"/>
    <w:rsid w:val="00960809"/>
    <w:rsid w:val="00960BEB"/>
    <w:rsid w:val="00963930"/>
    <w:rsid w:val="009826EF"/>
    <w:rsid w:val="00991985"/>
    <w:rsid w:val="009944C0"/>
    <w:rsid w:val="009A3ED3"/>
    <w:rsid w:val="009E334A"/>
    <w:rsid w:val="00A20916"/>
    <w:rsid w:val="00A41FE8"/>
    <w:rsid w:val="00A477AC"/>
    <w:rsid w:val="00A74B9F"/>
    <w:rsid w:val="00A86FE5"/>
    <w:rsid w:val="00AA2929"/>
    <w:rsid w:val="00AE25B6"/>
    <w:rsid w:val="00B679D3"/>
    <w:rsid w:val="00BA1673"/>
    <w:rsid w:val="00BB0BCD"/>
    <w:rsid w:val="00BB4F79"/>
    <w:rsid w:val="00BC642D"/>
    <w:rsid w:val="00BD632C"/>
    <w:rsid w:val="00C1179D"/>
    <w:rsid w:val="00C213B0"/>
    <w:rsid w:val="00C40DDC"/>
    <w:rsid w:val="00C5025A"/>
    <w:rsid w:val="00C6719C"/>
    <w:rsid w:val="00C73520"/>
    <w:rsid w:val="00C80326"/>
    <w:rsid w:val="00C80BCF"/>
    <w:rsid w:val="00C94200"/>
    <w:rsid w:val="00CA3B95"/>
    <w:rsid w:val="00CA6013"/>
    <w:rsid w:val="00CC1A45"/>
    <w:rsid w:val="00CE0751"/>
    <w:rsid w:val="00CF6ABB"/>
    <w:rsid w:val="00D00999"/>
    <w:rsid w:val="00D0413F"/>
    <w:rsid w:val="00D110B7"/>
    <w:rsid w:val="00D21775"/>
    <w:rsid w:val="00D23DA8"/>
    <w:rsid w:val="00D26B4F"/>
    <w:rsid w:val="00D33D6A"/>
    <w:rsid w:val="00D406A9"/>
    <w:rsid w:val="00D5048D"/>
    <w:rsid w:val="00DA15EA"/>
    <w:rsid w:val="00DA2276"/>
    <w:rsid w:val="00DF1606"/>
    <w:rsid w:val="00E03F0F"/>
    <w:rsid w:val="00E1105F"/>
    <w:rsid w:val="00E16A7C"/>
    <w:rsid w:val="00E47B56"/>
    <w:rsid w:val="00EC4265"/>
    <w:rsid w:val="00F00675"/>
    <w:rsid w:val="00F04BBF"/>
    <w:rsid w:val="00F05613"/>
    <w:rsid w:val="00F172BC"/>
    <w:rsid w:val="00F3232C"/>
    <w:rsid w:val="00F903C7"/>
    <w:rsid w:val="00FB0524"/>
    <w:rsid w:val="00FD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166821"/>
  <w15:docId w15:val="{0388BC9F-3413-4981-9042-B8D33497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EE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8"/>
      <w:szCs w:val="28"/>
    </w:rPr>
  </w:style>
  <w:style w:type="paragraph" w:styleId="1">
    <w:name w:val="heading 1"/>
    <w:basedOn w:val="a"/>
    <w:link w:val="10"/>
    <w:uiPriority w:val="9"/>
    <w:qFormat/>
    <w:locked/>
    <w:rsid w:val="00516E06"/>
    <w:pPr>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6EE7"/>
    <w:rPr>
      <w:rFonts w:cs="Times New Roman"/>
      <w:u w:val="single"/>
    </w:rPr>
  </w:style>
  <w:style w:type="paragraph" w:styleId="a4">
    <w:name w:val="header"/>
    <w:basedOn w:val="a"/>
    <w:link w:val="a5"/>
    <w:uiPriority w:val="99"/>
    <w:rsid w:val="00196EE7"/>
    <w:pPr>
      <w:tabs>
        <w:tab w:val="center" w:pos="4677"/>
        <w:tab w:val="right" w:pos="9355"/>
      </w:tabs>
    </w:pPr>
    <w:rPr>
      <w:sz w:val="20"/>
      <w:szCs w:val="20"/>
    </w:rPr>
  </w:style>
  <w:style w:type="character" w:customStyle="1" w:styleId="a5">
    <w:name w:val="Верхний колонтитул Знак"/>
    <w:basedOn w:val="a0"/>
    <w:link w:val="a4"/>
    <w:uiPriority w:val="99"/>
    <w:semiHidden/>
    <w:rsid w:val="00E070F0"/>
    <w:rPr>
      <w:rFonts w:cs="Arial Unicode MS"/>
      <w:color w:val="000000"/>
      <w:sz w:val="28"/>
      <w:szCs w:val="28"/>
    </w:rPr>
  </w:style>
  <w:style w:type="character" w:styleId="a6">
    <w:name w:val="page number"/>
    <w:basedOn w:val="a0"/>
    <w:uiPriority w:val="99"/>
    <w:rsid w:val="00196EE7"/>
    <w:rPr>
      <w:rFonts w:cs="Times New Roman"/>
      <w:color w:val="000000"/>
      <w:sz w:val="20"/>
    </w:rPr>
  </w:style>
  <w:style w:type="paragraph" w:customStyle="1" w:styleId="a7">
    <w:name w:val="Свободная форма"/>
    <w:uiPriority w:val="99"/>
    <w:rsid w:val="00196EE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rPr>
  </w:style>
  <w:style w:type="paragraph" w:customStyle="1" w:styleId="a8">
    <w:name w:val="Текстовый блок"/>
    <w:uiPriority w:val="99"/>
    <w:rsid w:val="00196E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4"/>
      <w:szCs w:val="24"/>
    </w:rPr>
  </w:style>
  <w:style w:type="paragraph" w:styleId="a9">
    <w:name w:val="List Paragraph"/>
    <w:basedOn w:val="a"/>
    <w:uiPriority w:val="34"/>
    <w:qFormat/>
    <w:rsid w:val="00196EE7"/>
    <w:pPr>
      <w:spacing w:after="200" w:line="276" w:lineRule="auto"/>
      <w:ind w:left="720"/>
    </w:pPr>
    <w:rPr>
      <w:rFonts w:ascii="Calibri" w:hAnsi="Calibri"/>
      <w:sz w:val="22"/>
      <w:szCs w:val="22"/>
    </w:rPr>
  </w:style>
  <w:style w:type="paragraph" w:customStyle="1" w:styleId="Aa">
    <w:name w:val="Свободная форма A"/>
    <w:uiPriority w:val="99"/>
    <w:rsid w:val="00196E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Lucida Grande" w:hAnsi="Lucida Grande" w:cs="Arial Unicode MS"/>
      <w:color w:val="000000"/>
    </w:rPr>
  </w:style>
  <w:style w:type="paragraph" w:customStyle="1" w:styleId="Ab">
    <w:name w:val="Текстовый блок A"/>
    <w:uiPriority w:val="99"/>
    <w:rsid w:val="00196E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4"/>
      <w:szCs w:val="24"/>
    </w:rPr>
  </w:style>
  <w:style w:type="character" w:customStyle="1" w:styleId="10">
    <w:name w:val="Заголовок 1 Знак"/>
    <w:basedOn w:val="a0"/>
    <w:link w:val="1"/>
    <w:uiPriority w:val="9"/>
    <w:rsid w:val="00516E06"/>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85071">
      <w:bodyDiv w:val="1"/>
      <w:marLeft w:val="0"/>
      <w:marRight w:val="0"/>
      <w:marTop w:val="0"/>
      <w:marBottom w:val="0"/>
      <w:divBdr>
        <w:top w:val="none" w:sz="0" w:space="0" w:color="auto"/>
        <w:left w:val="none" w:sz="0" w:space="0" w:color="auto"/>
        <w:bottom w:val="none" w:sz="0" w:space="0" w:color="auto"/>
        <w:right w:val="none" w:sz="0" w:space="0" w:color="auto"/>
      </w:divBdr>
    </w:div>
    <w:div w:id="1014070561">
      <w:bodyDiv w:val="1"/>
      <w:marLeft w:val="0"/>
      <w:marRight w:val="0"/>
      <w:marTop w:val="0"/>
      <w:marBottom w:val="0"/>
      <w:divBdr>
        <w:top w:val="none" w:sz="0" w:space="0" w:color="auto"/>
        <w:left w:val="none" w:sz="0" w:space="0" w:color="auto"/>
        <w:bottom w:val="none" w:sz="0" w:space="0" w:color="auto"/>
        <w:right w:val="none" w:sz="0" w:space="0" w:color="auto"/>
      </w:divBdr>
    </w:div>
    <w:div w:id="16166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Anton Stupin</cp:lastModifiedBy>
  <cp:revision>66</cp:revision>
  <dcterms:created xsi:type="dcterms:W3CDTF">2019-03-12T09:31:00Z</dcterms:created>
  <dcterms:modified xsi:type="dcterms:W3CDTF">2025-02-06T13:14:00Z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7cb7c5de37b380e27f5b658810a3c191cbb1b1a799cce7274ec1236a5d8e1e6f</vt:lpwstr>
  </property>
</Properties>
</file>