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0D" w:rsidRDefault="007B300D" w:rsidP="007B300D">
      <w:pPr>
        <w:jc w:val="center"/>
        <w:rPr>
          <w:b/>
          <w:lang w:val="ru-RU"/>
        </w:rPr>
      </w:pPr>
      <w:proofErr w:type="spellStart"/>
      <w:r w:rsidRPr="00BB398B">
        <w:rPr>
          <w:b/>
          <w:lang w:val="ru-RU"/>
        </w:rPr>
        <w:t>Medicine</w:t>
      </w:r>
      <w:proofErr w:type="spellEnd"/>
    </w:p>
    <w:p w:rsid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МОЙСЕЄНКО Валентина Олексіївна,</w:t>
      </w:r>
    </w:p>
    <w:p w:rsidR="007B300D" w:rsidRPr="001F55C8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7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доктор медичних наук, професор, академік НАН ВО України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,</w:t>
      </w:r>
    </w:p>
    <w:p w:rsidR="007B300D" w:rsidRP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 w:rsidRPr="007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Національний медичний університет імені О.О. Богомольця</w:t>
      </w:r>
    </w:p>
    <w:p w:rsid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ORCID</w:t>
      </w:r>
      <w:r w:rsidRPr="00270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ID</w:t>
      </w:r>
      <w:r w:rsidRPr="00270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:0000-0003-1402-6028</w:t>
      </w:r>
    </w:p>
    <w:p w:rsidR="00F33574" w:rsidRDefault="002E7146" w:rsidP="00F33574">
      <w:pPr>
        <w:spacing w:after="0" w:line="360" w:lineRule="auto"/>
        <w:ind w:firstLine="720"/>
        <w:jc w:val="center"/>
        <w:rPr>
          <w:rFonts w:ascii="Times New Roman" w:eastAsiaTheme="majorEastAsia" w:hAnsi="Times New Roman" w:cs="Times New Roman"/>
          <w:b/>
          <w:bCs/>
          <w:color w:val="0C0C0C"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color w:val="0C0C0C"/>
          <w:kern w:val="24"/>
          <w:sz w:val="28"/>
          <w:szCs w:val="28"/>
          <w:lang w:val="uk-UA"/>
        </w:rPr>
        <w:t>КЛЮЧОВІ ПРОБЛЕМИ БАЛАНСУВАННЯ ПЕРЕВАГ І РИЗИКІВ</w:t>
      </w:r>
    </w:p>
    <w:p w:rsidR="002E7146" w:rsidRPr="00A9368E" w:rsidRDefault="002E7146" w:rsidP="00F33574">
      <w:pPr>
        <w:spacing w:after="0" w:line="360" w:lineRule="auto"/>
        <w:ind w:firstLine="720"/>
        <w:jc w:val="center"/>
        <w:rPr>
          <w:rFonts w:ascii="Times New Roman" w:eastAsiaTheme="majorEastAsia" w:hAnsi="Times New Roman" w:cs="Times New Roman"/>
          <w:b/>
          <w:bCs/>
          <w:color w:val="0C0C0C"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color w:val="0C0C0C"/>
          <w:kern w:val="24"/>
          <w:sz w:val="28"/>
          <w:szCs w:val="28"/>
          <w:lang w:val="uk-UA"/>
        </w:rPr>
        <w:t>ІНГІБІТОРІВ ПРОТОННОЇ ПОМПИ</w:t>
      </w:r>
      <w:r w:rsidR="00EF5971">
        <w:rPr>
          <w:rFonts w:ascii="Times New Roman" w:eastAsiaTheme="majorEastAsia" w:hAnsi="Times New Roman" w:cs="Times New Roman"/>
          <w:b/>
          <w:bCs/>
          <w:color w:val="0C0C0C"/>
          <w:kern w:val="24"/>
          <w:sz w:val="28"/>
          <w:szCs w:val="28"/>
          <w:lang w:val="uk-UA"/>
        </w:rPr>
        <w:t xml:space="preserve"> </w:t>
      </w:r>
      <w:r w:rsidR="00A9368E">
        <w:rPr>
          <w:rFonts w:ascii="Times New Roman" w:eastAsiaTheme="majorEastAsia" w:hAnsi="Times New Roman" w:cs="Times New Roman"/>
          <w:b/>
          <w:bCs/>
          <w:color w:val="0C0C0C"/>
          <w:kern w:val="24"/>
          <w:sz w:val="28"/>
          <w:szCs w:val="28"/>
          <w:lang w:val="uk-UA"/>
        </w:rPr>
        <w:t>ПРИ КИСЛОТОЗАЛЕЖНИХ СТАНАХ</w:t>
      </w:r>
    </w:p>
    <w:p w:rsidR="00361A7D" w:rsidRDefault="000B12CF" w:rsidP="00FF3D9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Метааналізи</w:t>
      </w:r>
      <w:proofErr w:type="spellEnd"/>
      <w:r w:rsidR="00781B37" w:rsidRPr="00781B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>останніх</w:t>
      </w:r>
      <w:r w:rsidR="00781B37" w:rsidRPr="00781B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12C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>рандомізованих</w:t>
      </w:r>
      <w:proofErr w:type="spellEnd"/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клінічних досліджень показа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ли</w:t>
      </w:r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0B12CF">
        <w:rPr>
          <w:rFonts w:ascii="Times New Roman" w:hAnsi="Times New Roman" w:cs="Times New Roman"/>
          <w:bCs/>
          <w:sz w:val="28"/>
          <w:szCs w:val="28"/>
        </w:rPr>
        <w:t> </w:t>
      </w:r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інгібітори протонної помпи (</w:t>
      </w:r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>ІПП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мають клінічні переваги у зниженні кислотності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наявності інфекції </w:t>
      </w:r>
      <w:r w:rsidRPr="000B12CF">
        <w:rPr>
          <w:rFonts w:ascii="Times New Roman" w:hAnsi="Times New Roman" w:cs="Times New Roman"/>
          <w:bCs/>
          <w:sz w:val="28"/>
          <w:szCs w:val="28"/>
        </w:rPr>
        <w:t>Helicobacter</w:t>
      </w:r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12CF">
        <w:rPr>
          <w:rFonts w:ascii="Times New Roman" w:hAnsi="Times New Roman" w:cs="Times New Roman"/>
          <w:bCs/>
          <w:sz w:val="28"/>
          <w:szCs w:val="28"/>
        </w:rPr>
        <w:t>pylori</w:t>
      </w:r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рекомендоване проведення </w:t>
      </w:r>
      <w:proofErr w:type="spellStart"/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>ерадикаційної</w:t>
      </w:r>
      <w:proofErr w:type="spellEnd"/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терапії, за необхідності - збільшення дози та тривалості прийому ІПП</w:t>
      </w:r>
      <w:r w:rsidR="004857AB" w:rsidRPr="00485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[1,2]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У фокусі уваги хворі 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рефлюксну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хворобу, зі стравоходом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Баррета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виразковою хворобою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коморбідними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станами, які потребують </w:t>
      </w:r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>тривал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прийом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0B12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нестероїдних протизапальних препаратів (НПЗП)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Відомо, що проліферація </w:t>
      </w:r>
      <w:proofErr w:type="spellStart"/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гістамін</w:t>
      </w:r>
      <w:proofErr w:type="spellEnd"/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-продукуючих клітин (</w:t>
      </w:r>
      <w:proofErr w:type="spellStart"/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гістамін</w:t>
      </w:r>
      <w:proofErr w:type="spellEnd"/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який за нормальних обставин стимулює парієтальні клітини, активуючи h+/k+ </w:t>
      </w:r>
      <w:r w:rsidR="00CA2CFF">
        <w:rPr>
          <w:rFonts w:ascii="Times New Roman" w:hAnsi="Times New Roman" w:cs="Times New Roman"/>
          <w:bCs/>
          <w:sz w:val="28"/>
          <w:szCs w:val="28"/>
          <w:lang w:val="uk-UA"/>
        </w:rPr>
        <w:t>АТФ</w:t>
      </w:r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-азу та виробляючи кислоту в шлунку) є негативним наслідком тривалого прийому ІПП</w:t>
      </w:r>
      <w:r w:rsidR="004857AB" w:rsidRPr="00485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[3]</w:t>
      </w:r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. Проблема полягає у</w:t>
      </w:r>
      <w:r w:rsid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тому, що після припинення тривалого прийому ІПП у деяких випадках виникає підвищення рівня кислоти вище, ніж до початку застосування ІПП.</w:t>
      </w:r>
      <w:r w:rsidR="00666724" w:rsidRPr="0066672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361A7D" w:rsidRPr="00361A7D" w:rsidRDefault="00361A7D" w:rsidP="00361A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4857AB" w:rsidRDefault="00361A7D" w:rsidP="002E675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[1] </w:t>
      </w:r>
      <w:proofErr w:type="spellStart"/>
      <w:r w:rsidR="00781B37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Dutta</w:t>
      </w:r>
      <w:proofErr w:type="spellEnd"/>
      <w:r w:rsidR="00781B37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A.K.,</w:t>
      </w:r>
      <w:proofErr w:type="spellStart"/>
      <w:r w:rsidR="00781B37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Jain</w:t>
      </w:r>
      <w:proofErr w:type="spellEnd"/>
      <w:r w:rsidR="00781B37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A., </w:t>
      </w:r>
      <w:proofErr w:type="spellStart"/>
      <w:r w:rsidR="00781B37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Jearth</w:t>
      </w:r>
      <w:proofErr w:type="spellEnd"/>
      <w:r w:rsidR="00781B37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V., </w:t>
      </w:r>
      <w:proofErr w:type="spellStart"/>
      <w:r w:rsidR="00781B37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MahajanR</w:t>
      </w:r>
      <w:proofErr w:type="spellEnd"/>
      <w:r w:rsidR="00781B37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., </w:t>
      </w:r>
      <w:proofErr w:type="spellStart"/>
      <w:r w:rsidR="00781B37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Reddy</w:t>
      </w:r>
      <w:proofErr w:type="spellEnd"/>
      <w:r w:rsidR="00781B37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D.N. </w:t>
      </w:r>
      <w:r w:rsidR="00781B37">
        <w:rPr>
          <w:rFonts w:ascii="Times New Roman" w:hAnsi="Times New Roman" w:cs="Times New Roman"/>
          <w:bCs/>
          <w:sz w:val="20"/>
          <w:szCs w:val="20"/>
        </w:rPr>
        <w:t xml:space="preserve">et as.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Guidelines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on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optimizing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the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use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of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proton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pump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inhibitors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: PPI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stewardship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Epub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2023 </w:t>
      </w:r>
      <w:proofErr w:type="spellStart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>Sep</w:t>
      </w:r>
      <w:proofErr w:type="spellEnd"/>
      <w:r w:rsidR="004857AB" w:rsidRPr="004857A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12 PMID: 37698821</w:t>
      </w:r>
    </w:p>
    <w:p w:rsidR="00781B37" w:rsidRDefault="002E675B" w:rsidP="00781B37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>[</w:t>
      </w:r>
      <w:r w:rsidR="004857AB">
        <w:rPr>
          <w:rFonts w:ascii="Times New Roman" w:hAnsi="Times New Roman" w:cs="Times New Roman"/>
          <w:bCs/>
          <w:sz w:val="20"/>
          <w:szCs w:val="20"/>
        </w:rPr>
        <w:t>2</w:t>
      </w:r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] </w:t>
      </w:r>
      <w:proofErr w:type="spellStart"/>
      <w:r w:rsidR="004857AB" w:rsidRPr="002E675B">
        <w:rPr>
          <w:rFonts w:ascii="Times New Roman" w:hAnsi="Times New Roman" w:cs="Times New Roman"/>
          <w:bCs/>
          <w:sz w:val="20"/>
          <w:szCs w:val="20"/>
          <w:lang w:val="uk-UA"/>
        </w:rPr>
        <w:t>Jenkins</w:t>
      </w:r>
      <w:proofErr w:type="spellEnd"/>
      <w:r w:rsidR="004857AB" w:rsidRPr="002E675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D, </w:t>
      </w:r>
      <w:proofErr w:type="spellStart"/>
      <w:r w:rsidR="004857AB" w:rsidRPr="002E675B">
        <w:rPr>
          <w:rFonts w:ascii="Times New Roman" w:hAnsi="Times New Roman" w:cs="Times New Roman"/>
          <w:bCs/>
          <w:sz w:val="20"/>
          <w:szCs w:val="20"/>
          <w:lang w:val="uk-UA"/>
        </w:rPr>
        <w:t>Modolell</w:t>
      </w:r>
      <w:proofErr w:type="spellEnd"/>
      <w:r w:rsidR="004857AB" w:rsidRPr="002E675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I. </w:t>
      </w:r>
      <w:proofErr w:type="spellStart"/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>Proton</w:t>
      </w:r>
      <w:proofErr w:type="spellEnd"/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>pump</w:t>
      </w:r>
      <w:proofErr w:type="spellEnd"/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>inhibitors</w:t>
      </w:r>
      <w:proofErr w:type="spellEnd"/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4857A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BMJ. 2023 </w:t>
      </w:r>
      <w:proofErr w:type="spellStart"/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>Nov</w:t>
      </w:r>
      <w:proofErr w:type="spellEnd"/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13;383:e070752. </w:t>
      </w:r>
      <w:proofErr w:type="spellStart"/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>doi</w:t>
      </w:r>
      <w:proofErr w:type="spellEnd"/>
      <w:r w:rsidRPr="002E675B">
        <w:rPr>
          <w:rFonts w:ascii="Times New Roman" w:hAnsi="Times New Roman" w:cs="Times New Roman"/>
          <w:bCs/>
          <w:sz w:val="20"/>
          <w:szCs w:val="20"/>
          <w:lang w:val="uk-UA"/>
        </w:rPr>
        <w:t>: 10.1136/bmj-2022-070752. PMID: 37957000</w:t>
      </w:r>
      <w:r w:rsidR="00781B3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857AB" w:rsidRPr="004857AB" w:rsidRDefault="004857AB" w:rsidP="00781B37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[3] </w:t>
      </w:r>
      <w:r w:rsidR="00FF3D92">
        <w:rPr>
          <w:rFonts w:ascii="Times New Roman" w:hAnsi="Times New Roman" w:cs="Times New Roman"/>
          <w:bCs/>
          <w:sz w:val="20"/>
          <w:szCs w:val="20"/>
        </w:rPr>
        <w:t xml:space="preserve">Felice </w:t>
      </w:r>
      <w:proofErr w:type="spellStart"/>
      <w:r w:rsidR="00FF3D92">
        <w:rPr>
          <w:rFonts w:ascii="Times New Roman" w:hAnsi="Times New Roman" w:cs="Times New Roman"/>
          <w:bCs/>
          <w:sz w:val="20"/>
          <w:szCs w:val="20"/>
        </w:rPr>
        <w:t>Schnoll</w:t>
      </w:r>
      <w:proofErr w:type="spellEnd"/>
      <w:r w:rsidR="00FF3D9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F3D92">
        <w:rPr>
          <w:rFonts w:ascii="Times New Roman" w:hAnsi="Times New Roman" w:cs="Times New Roman"/>
          <w:bCs/>
          <w:sz w:val="20"/>
          <w:szCs w:val="20"/>
        </w:rPr>
        <w:t>Susman</w:t>
      </w:r>
      <w:proofErr w:type="spellEnd"/>
      <w:r w:rsidR="00FF3D92">
        <w:rPr>
          <w:rFonts w:ascii="Times New Roman" w:hAnsi="Times New Roman" w:cs="Times New Roman"/>
          <w:bCs/>
          <w:sz w:val="20"/>
          <w:szCs w:val="20"/>
        </w:rPr>
        <w:t xml:space="preserve">, Rachel </w:t>
      </w:r>
      <w:proofErr w:type="spellStart"/>
      <w:r w:rsidR="00FF3D92">
        <w:rPr>
          <w:rFonts w:ascii="Times New Roman" w:hAnsi="Times New Roman" w:cs="Times New Roman"/>
          <w:bCs/>
          <w:sz w:val="20"/>
          <w:szCs w:val="20"/>
        </w:rPr>
        <w:t>Niec</w:t>
      </w:r>
      <w:proofErr w:type="spellEnd"/>
      <w:r w:rsidR="00FF3D92">
        <w:rPr>
          <w:rFonts w:ascii="Times New Roman" w:hAnsi="Times New Roman" w:cs="Times New Roman"/>
          <w:bCs/>
          <w:sz w:val="20"/>
          <w:szCs w:val="20"/>
        </w:rPr>
        <w:t xml:space="preserve">, Philip O Katz. </w:t>
      </w:r>
      <w:r>
        <w:rPr>
          <w:rFonts w:ascii="Times New Roman" w:hAnsi="Times New Roman" w:cs="Times New Roman"/>
          <w:bCs/>
          <w:sz w:val="20"/>
          <w:szCs w:val="20"/>
        </w:rPr>
        <w:t xml:space="preserve">Proton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pumb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ingibitors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: the good, bed and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ungly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</w:t>
      </w:r>
      <w:r w:rsidR="00FF3D9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Gastrointest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Endosc.Clin.An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Am 2020 April 30(2).</w:t>
      </w:r>
      <w:r w:rsidR="00FF3D9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239-251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: 1016/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</w:t>
      </w:r>
      <w:r w:rsidR="00FF3D92">
        <w:rPr>
          <w:rFonts w:ascii="Times New Roman" w:hAnsi="Times New Roman" w:cs="Times New Roman"/>
          <w:bCs/>
          <w:sz w:val="20"/>
          <w:szCs w:val="20"/>
        </w:rPr>
        <w:t>.giec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2019</w:t>
      </w:r>
      <w:r w:rsidR="00FF3D92">
        <w:rPr>
          <w:rFonts w:ascii="Times New Roman" w:hAnsi="Times New Roman" w:cs="Times New Roman"/>
          <w:bCs/>
          <w:sz w:val="20"/>
          <w:szCs w:val="20"/>
        </w:rPr>
        <w:t xml:space="preserve"> 12005 </w:t>
      </w:r>
      <w:proofErr w:type="spellStart"/>
      <w:r w:rsidR="00FF3D92">
        <w:rPr>
          <w:rFonts w:ascii="Times New Roman" w:hAnsi="Times New Roman" w:cs="Times New Roman"/>
          <w:bCs/>
          <w:sz w:val="20"/>
          <w:szCs w:val="20"/>
        </w:rPr>
        <w:t>Epub</w:t>
      </w:r>
      <w:proofErr w:type="spellEnd"/>
      <w:r w:rsidR="00FF3D92">
        <w:rPr>
          <w:rFonts w:ascii="Times New Roman" w:hAnsi="Times New Roman" w:cs="Times New Roman"/>
          <w:bCs/>
          <w:sz w:val="20"/>
          <w:szCs w:val="20"/>
        </w:rPr>
        <w:t xml:space="preserve"> 2020 Jun 2019 Jan13</w:t>
      </w:r>
    </w:p>
    <w:p w:rsidR="004857AB" w:rsidRPr="002E675B" w:rsidRDefault="004857AB" w:rsidP="002E675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:rsidR="00361A7D" w:rsidRPr="00361A7D" w:rsidRDefault="00361A7D" w:rsidP="004857A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1A7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Тут потрібно знати фізіологію </w:t>
      </w:r>
      <w:proofErr w:type="spellStart"/>
      <w:r w:rsidRPr="00361A7D">
        <w:rPr>
          <w:rFonts w:ascii="Times New Roman" w:hAnsi="Times New Roman" w:cs="Times New Roman"/>
          <w:bCs/>
          <w:sz w:val="28"/>
          <w:szCs w:val="28"/>
          <w:lang w:val="uk-UA"/>
        </w:rPr>
        <w:t>кислотопродукування</w:t>
      </w:r>
      <w:proofErr w:type="spellEnd"/>
      <w:r w:rsidRPr="00361A7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857AB" w:rsidRDefault="004857AB" w:rsidP="004857A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5782E">
        <w:rPr>
          <w:rFonts w:ascii="Times New Roman" w:hAnsi="Times New Roman" w:cs="Times New Roman"/>
          <w:bCs/>
          <w:i/>
          <w:sz w:val="28"/>
          <w:szCs w:val="28"/>
          <w:lang w:val="uk-UA"/>
        </w:rPr>
        <w:t>Які клітини впливають на секрецію соляної кислоти в шлунку?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обота парієтальних клітини </w:t>
      </w:r>
      <w:proofErr w:type="spellStart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шлунка</w:t>
      </w:r>
      <w:proofErr w:type="spellEnd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наслідком стимуляції з боку </w:t>
      </w:r>
      <w:proofErr w:type="spellStart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нейрокринних</w:t>
      </w:r>
      <w:proofErr w:type="spellEnd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</w:p>
    <w:p w:rsidR="00E5782E" w:rsidRDefault="00E5782E" w:rsidP="004857A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паракринних</w:t>
      </w:r>
      <w:proofErr w:type="spellEnd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гормональних подразників після зв’язування основних </w:t>
      </w:r>
      <w:proofErr w:type="spellStart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секретагогів</w:t>
      </w:r>
      <w:proofErr w:type="spellEnd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(включаючи </w:t>
      </w:r>
      <w:proofErr w:type="spellStart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гастрин</w:t>
      </w:r>
      <w:proofErr w:type="spellEnd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, ацетилхолін, PACAP-</w:t>
      </w:r>
      <w:proofErr w:type="spellStart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гіпоталамічний</w:t>
      </w:r>
      <w:proofErr w:type="spellEnd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пептид та </w:t>
      </w:r>
      <w:proofErr w:type="spellStart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гістамін</w:t>
      </w:r>
      <w:proofErr w:type="spellEnd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з відповідними рецепторами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поверхні клітин. Сьогодні можна експериментально перевірити рівень вироблення соляної кислоти (</w:t>
      </w:r>
      <w:proofErr w:type="spellStart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англ</w:t>
      </w:r>
      <w:proofErr w:type="spellEnd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gastric</w:t>
      </w:r>
      <w:proofErr w:type="spellEnd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acid</w:t>
      </w:r>
      <w:proofErr w:type="spellEnd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>outputs</w:t>
      </w:r>
      <w:proofErr w:type="spellEnd"/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GAO).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ІПП</w:t>
      </w:r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гальму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ють</w:t>
      </w:r>
      <w:r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вивільнення соляної кислоти парієтальними клітинами.</w:t>
      </w:r>
    </w:p>
    <w:p w:rsidR="00E5782E" w:rsidRDefault="009A24E2" w:rsidP="00E5782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24E2">
        <w:rPr>
          <w:rFonts w:ascii="Times New Roman" w:hAnsi="Times New Roman" w:cs="Times New Roman"/>
          <w:bCs/>
          <w:i/>
          <w:sz w:val="28"/>
          <w:szCs w:val="28"/>
          <w:lang w:val="uk-UA"/>
        </w:rPr>
        <w:t>Як підтримати внутрішньо-клітинний гомеостаз?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2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допомогою протонної помпи. Після генерації внутрішньоклітинних вторинних </w:t>
      </w:r>
      <w:proofErr w:type="spellStart"/>
      <w:r w:rsidRPr="009A24E2">
        <w:rPr>
          <w:rFonts w:ascii="Times New Roman" w:hAnsi="Times New Roman" w:cs="Times New Roman"/>
          <w:bCs/>
          <w:sz w:val="28"/>
          <w:szCs w:val="28"/>
          <w:lang w:val="uk-UA"/>
        </w:rPr>
        <w:t>месенджерів</w:t>
      </w:r>
      <w:proofErr w:type="spellEnd"/>
      <w:r w:rsidRPr="009A2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активують </w:t>
      </w:r>
      <w:proofErr w:type="spellStart"/>
      <w:r w:rsidRPr="009A24E2">
        <w:rPr>
          <w:rFonts w:ascii="Times New Roman" w:hAnsi="Times New Roman" w:cs="Times New Roman"/>
          <w:bCs/>
          <w:sz w:val="28"/>
          <w:szCs w:val="28"/>
          <w:lang w:val="uk-UA"/>
        </w:rPr>
        <w:t>протеїнкінази</w:t>
      </w:r>
      <w:proofErr w:type="spellEnd"/>
      <w:r w:rsidRPr="009A24E2">
        <w:rPr>
          <w:rFonts w:ascii="Times New Roman" w:hAnsi="Times New Roman" w:cs="Times New Roman"/>
          <w:bCs/>
          <w:sz w:val="28"/>
          <w:szCs w:val="28"/>
          <w:lang w:val="uk-UA"/>
        </w:rPr>
        <w:t>, секреція кислоти стимулюється за рахунок активації ферменту H+,K+-</w:t>
      </w:r>
      <w:proofErr w:type="spellStart"/>
      <w:r w:rsidRPr="009A24E2">
        <w:rPr>
          <w:rFonts w:ascii="Times New Roman" w:hAnsi="Times New Roman" w:cs="Times New Roman"/>
          <w:bCs/>
          <w:sz w:val="28"/>
          <w:szCs w:val="28"/>
          <w:lang w:val="uk-UA"/>
        </w:rPr>
        <w:t>АТФази</w:t>
      </w:r>
      <w:proofErr w:type="spellEnd"/>
      <w:r w:rsidRPr="009A2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парієтальних клітин (протонної помпи). Для підтримки внутрішньоклітинного гомеостазу через протонні помпи відбувається обмін внутрішньоклітинних іонів водню та позаклітинних іонів калію у співвідношенні 1:1. Препарат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Pr="009A2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вибору мож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уть бути ІПП.</w:t>
      </w:r>
      <w:r w:rsidRPr="009A2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Але п</w:t>
      </w:r>
      <w:r w:rsidR="00E5782E">
        <w:rPr>
          <w:rFonts w:ascii="Times New Roman" w:hAnsi="Times New Roman" w:cs="Times New Roman"/>
          <w:bCs/>
          <w:sz w:val="28"/>
          <w:szCs w:val="28"/>
          <w:lang w:val="uk-UA"/>
        </w:rPr>
        <w:t>ри тривалому прийомі ІПП виникає д</w:t>
      </w:r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ефіцит вітаміну В</w:t>
      </w:r>
      <w:r w:rsidR="00E5782E" w:rsidRPr="007E3383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12</w:t>
      </w:r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(зв’язується з білковою молекулою R-фактором, для звільн</w:t>
      </w:r>
      <w:r w:rsidR="00E5782E">
        <w:rPr>
          <w:rFonts w:ascii="Times New Roman" w:hAnsi="Times New Roman" w:cs="Times New Roman"/>
          <w:bCs/>
          <w:sz w:val="28"/>
          <w:szCs w:val="28"/>
          <w:lang w:val="uk-UA"/>
        </w:rPr>
        <w:t>ення</w:t>
      </w:r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R-</w:t>
      </w:r>
      <w:proofErr w:type="spellStart"/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фактора</w:t>
      </w:r>
      <w:proofErr w:type="spellEnd"/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необхідна активація </w:t>
      </w:r>
      <w:proofErr w:type="spellStart"/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протеаз</w:t>
      </w:r>
      <w:proofErr w:type="spellEnd"/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, яка можлива лише в кислому середовищі</w:t>
      </w:r>
      <w:r w:rsidR="00E5782E">
        <w:rPr>
          <w:rFonts w:ascii="Times New Roman" w:hAnsi="Times New Roman" w:cs="Times New Roman"/>
          <w:bCs/>
          <w:sz w:val="28"/>
          <w:szCs w:val="28"/>
          <w:lang w:val="uk-UA"/>
        </w:rPr>
        <w:t>), д</w:t>
      </w:r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ефіцит заліза (анемія)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п</w:t>
      </w:r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орушення всмоктування нерозчинного кальцію окремо від їжі (остеопороз)</w:t>
      </w:r>
      <w:r w:rsidR="00481F6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81F6C">
        <w:rPr>
          <w:rFonts w:ascii="Times New Roman" w:hAnsi="Times New Roman" w:cs="Times New Roman"/>
          <w:bCs/>
          <w:sz w:val="28"/>
          <w:szCs w:val="28"/>
          <w:lang w:val="uk-UA"/>
        </w:rPr>
        <w:t>Існує думка,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81F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іпергастринемія</w:t>
      </w:r>
      <w:proofErr w:type="spellEnd"/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може призвести до злоякісності (</w:t>
      </w:r>
      <w:proofErr w:type="spellStart"/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онкопроцес</w:t>
      </w:r>
      <w:proofErr w:type="spellEnd"/>
      <w:r w:rsidR="00E5782E" w:rsidRPr="00E5782E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5782E" w:rsidRDefault="00481F6C" w:rsidP="00481F6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75CB">
        <w:rPr>
          <w:rFonts w:ascii="Times New Roman" w:hAnsi="Times New Roman" w:cs="Times New Roman"/>
          <w:bCs/>
          <w:i/>
          <w:sz w:val="28"/>
          <w:szCs w:val="28"/>
          <w:lang w:val="uk-UA"/>
        </w:rPr>
        <w:t>Чи існує зв’язок ІПП із розвитком пухлин травної системи?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481F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ризику раку підшлункової залози у пацієнтів, які приймають ІПП, переконливі висновки отримані у відповідному систематичному огляді та </w:t>
      </w:r>
      <w:proofErr w:type="spellStart"/>
      <w:r w:rsidRPr="00481F6C">
        <w:rPr>
          <w:rFonts w:ascii="Times New Roman" w:hAnsi="Times New Roman" w:cs="Times New Roman"/>
          <w:bCs/>
          <w:sz w:val="28"/>
          <w:szCs w:val="28"/>
          <w:lang w:val="uk-UA"/>
        </w:rPr>
        <w:t>метааналізі</w:t>
      </w:r>
      <w:proofErr w:type="spellEnd"/>
      <w:r w:rsidRPr="00481F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моделі фіксованих або випадкових ефектів. Було відібрано 9 досліджень (3 </w:t>
      </w:r>
      <w:proofErr w:type="spellStart"/>
      <w:r w:rsidRPr="00481F6C">
        <w:rPr>
          <w:rFonts w:ascii="Times New Roman" w:hAnsi="Times New Roman" w:cs="Times New Roman"/>
          <w:bCs/>
          <w:sz w:val="28"/>
          <w:szCs w:val="28"/>
          <w:lang w:val="uk-UA"/>
        </w:rPr>
        <w:t>когортних</w:t>
      </w:r>
      <w:proofErr w:type="spellEnd"/>
      <w:r w:rsidRPr="00481F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6 досліджень випадок – контроль) за участю 1 036 438 пацієнтів. </w:t>
      </w:r>
      <w:r w:rsidRPr="00481F6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У цілому не було визначено статистично значущого зв’язку між використанням ІПП і ризиком розвитку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раку.</w:t>
      </w:r>
    </w:p>
    <w:p w:rsidR="009075CB" w:rsidRDefault="009075CB" w:rsidP="009075C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75CB">
        <w:rPr>
          <w:rFonts w:ascii="Times New Roman" w:hAnsi="Times New Roman" w:cs="Times New Roman"/>
          <w:bCs/>
          <w:i/>
          <w:sz w:val="28"/>
          <w:szCs w:val="28"/>
          <w:lang w:val="uk-UA"/>
        </w:rPr>
        <w:t>Що забезпечує безпеку ІПП ?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рН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-селективність. Відомо, що, крім парієтальних клітин, мішенями для неселективних ІПП можуть стати безліч інших клітин, де працюють протонні помпи: епітеліальний покрив кишечника, жовчних ходів,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гематоенцефалічного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бар’єру, ниркових канальців, рогівки, ендотелій судин гладких м’язів,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імунокомпетентні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клітини,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остеокласти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також клітинні органели з кислим середовищем –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лізосоми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нейросекреторні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гранули та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ендосоми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 яких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рН</w:t>
      </w:r>
      <w:proofErr w:type="spellEnd"/>
      <w:r w:rsidR="00E56400" w:rsidRPr="00E564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= </w:t>
      </w:r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4,5-5.</w:t>
      </w:r>
      <w:r w:rsidR="00E56400" w:rsidRPr="00E564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рН</w:t>
      </w:r>
      <w:proofErr w:type="spellEnd"/>
      <w:r w:rsidR="00E56400" w:rsidRPr="00E564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=</w:t>
      </w:r>
      <w:r w:rsidR="00E56400" w:rsidRPr="00E564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1-2 усі ІПП діють однаково швидко. Однак при внутрішньоклітинному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рН</w:t>
      </w:r>
      <w:proofErr w:type="spellEnd"/>
      <w:r w:rsidR="00E56400" w:rsidRPr="00E564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=</w:t>
      </w:r>
      <w:r w:rsidR="00E56400" w:rsidRPr="00E564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 швидкість активації ІПП знижується, при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рН</w:t>
      </w:r>
      <w:proofErr w:type="spellEnd"/>
      <w:r w:rsidR="00E56400" w:rsidRPr="00E564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=</w:t>
      </w:r>
      <w:r w:rsidR="00E56400" w:rsidRPr="00E564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ІПП практично не переходять в активну форму. </w:t>
      </w:r>
      <w:r w:rsidR="00E56400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яд зменшення показника рівня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рН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активації ІПП розподіляються у такий спосіб: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рабепразол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&gt;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омепразол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=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езомепразол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=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лансопразол</w:t>
      </w:r>
      <w:proofErr w:type="spellEnd"/>
      <w:r w:rsidR="00E564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&gt; </w:t>
      </w:r>
      <w:proofErr w:type="spellStart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пантопразол</w:t>
      </w:r>
      <w:proofErr w:type="spellEnd"/>
      <w:r w:rsidRPr="009075C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620A3" w:rsidRDefault="0086613A" w:rsidP="0086613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3242">
        <w:rPr>
          <w:rFonts w:ascii="Times New Roman" w:hAnsi="Times New Roman" w:cs="Times New Roman"/>
          <w:bCs/>
          <w:i/>
          <w:sz w:val="28"/>
          <w:szCs w:val="28"/>
          <w:lang w:val="uk-UA"/>
        </w:rPr>
        <w:t>Які небажані побічні ефекти у ІПП?</w:t>
      </w:r>
      <w:r w:rsidR="00ED324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ED3242">
        <w:rPr>
          <w:rFonts w:ascii="Times New Roman" w:hAnsi="Times New Roman" w:cs="Times New Roman"/>
          <w:bCs/>
          <w:sz w:val="28"/>
          <w:szCs w:val="28"/>
          <w:lang w:val="uk-UA"/>
        </w:rPr>
        <w:t>Якщо ІПП</w:t>
      </w:r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відноситься до селективних ІПП, </w:t>
      </w:r>
      <w:r w:rsidR="00ED3242">
        <w:rPr>
          <w:rFonts w:ascii="Times New Roman" w:hAnsi="Times New Roman" w:cs="Times New Roman"/>
          <w:bCs/>
          <w:sz w:val="28"/>
          <w:szCs w:val="28"/>
          <w:lang w:val="uk-UA"/>
        </w:rPr>
        <w:t>то</w:t>
      </w:r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побічні ефекти зведені до мінімуму.</w:t>
      </w:r>
      <w:r w:rsidR="00ED32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Неселективні ІПП можуть спричиняти небажані побічні ефекти у вигляді гальмування багатьох важливих клітинних функцій. Наприклад, </w:t>
      </w:r>
      <w:proofErr w:type="spellStart"/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>рабепразол</w:t>
      </w:r>
      <w:proofErr w:type="spellEnd"/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реалізуючись у </w:t>
      </w:r>
      <w:proofErr w:type="spellStart"/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>лізосомах</w:t>
      </w:r>
      <w:proofErr w:type="spellEnd"/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клітин неспецифічної імунної системи, що складають першу лінію захисту проти бактеріальних і вірусних інфекцій, призводить до підвищення частоти виникнення інфекційних і запальних побічних ефектів (риніту, фарингіту, ГРВІ) на 2-5%. З позиції можливого впливу ІПП на функцію </w:t>
      </w:r>
      <w:proofErr w:type="spellStart"/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>нейтрофілів</w:t>
      </w:r>
      <w:proofErr w:type="spellEnd"/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обговорюється розвиток спонтанного бактеріального перитоніту (СБП) у пацієнтів із </w:t>
      </w:r>
      <w:r w:rsidR="003620A3">
        <w:rPr>
          <w:rFonts w:ascii="Times New Roman" w:hAnsi="Times New Roman" w:cs="Times New Roman"/>
          <w:bCs/>
          <w:sz w:val="28"/>
          <w:szCs w:val="28"/>
          <w:lang w:val="uk-UA"/>
        </w:rPr>
        <w:t>цирозом печінки (</w:t>
      </w:r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>ЦП</w:t>
      </w:r>
      <w:r w:rsidR="003620A3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тобто інфікування </w:t>
      </w:r>
      <w:proofErr w:type="spellStart"/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>асцитичної</w:t>
      </w:r>
      <w:proofErr w:type="spellEnd"/>
      <w:r w:rsidRPr="00866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рідини без очевидного джерела</w:t>
      </w:r>
      <w:r w:rsidR="00ED324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57CA1" w:rsidRDefault="00757CA1" w:rsidP="00757CA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A1">
        <w:rPr>
          <w:rFonts w:ascii="Times New Roman" w:hAnsi="Times New Roman" w:cs="Times New Roman"/>
          <w:bCs/>
          <w:i/>
          <w:sz w:val="28"/>
          <w:szCs w:val="28"/>
          <w:lang w:val="uk-UA"/>
        </w:rPr>
        <w:t>Яка роль ІПП в різні сезонні проміжки?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>аме в осінній період зростає як частота вірусних, так і частота гастроентерологічних захворювань.</w:t>
      </w:r>
      <w:r w:rsidR="000348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 </w:t>
      </w:r>
      <w:r w:rsidR="00C34DD9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иразковій хворобі на тлі вірусної інфекції лікування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ІПП</w:t>
      </w:r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слід продовжувати. </w:t>
      </w:r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Але пам’ятати: при супутньому застосуванні з </w:t>
      </w:r>
      <w:proofErr w:type="spellStart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>омепразолом</w:t>
      </w:r>
      <w:proofErr w:type="spellEnd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концентрація </w:t>
      </w:r>
      <w:proofErr w:type="spellStart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>атазанавіру</w:t>
      </w:r>
      <w:proofErr w:type="spellEnd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>нелфінавіру</w:t>
      </w:r>
      <w:proofErr w:type="spellEnd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сироватці крові знижувалася, тому їх одночасне застосування не рекомендується.</w:t>
      </w:r>
      <w:r w:rsidR="00540B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40B24" w:rsidRPr="00D34336" w:rsidRDefault="00540B24" w:rsidP="00757CA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0B24">
        <w:rPr>
          <w:rFonts w:ascii="Times New Roman" w:hAnsi="Times New Roman" w:cs="Times New Roman"/>
          <w:bCs/>
          <w:i/>
          <w:sz w:val="28"/>
          <w:szCs w:val="28"/>
          <w:lang w:val="uk-UA"/>
        </w:rPr>
        <w:t>Як вливають ІПП на рівень магнію?</w:t>
      </w:r>
      <w:r w:rsidR="00342195" w:rsidRPr="00342195">
        <w:rPr>
          <w:lang w:val="ru-RU"/>
        </w:rPr>
        <w:t xml:space="preserve"> </w:t>
      </w:r>
      <w:r w:rsidR="003909BC" w:rsidRPr="00D34336">
        <w:rPr>
          <w:rFonts w:ascii="Times New Roman" w:hAnsi="Times New Roman" w:cs="Times New Roman"/>
          <w:sz w:val="28"/>
          <w:szCs w:val="28"/>
          <w:lang w:val="ru-RU"/>
        </w:rPr>
        <w:t xml:space="preserve">ІПП </w:t>
      </w:r>
      <w:proofErr w:type="spellStart"/>
      <w:r w:rsidR="003909BC" w:rsidRPr="00D34336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3909BC" w:rsidRPr="00D34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09BC" w:rsidRPr="00D34336">
        <w:rPr>
          <w:rFonts w:ascii="Times New Roman" w:hAnsi="Times New Roman" w:cs="Times New Roman"/>
          <w:sz w:val="28"/>
          <w:szCs w:val="28"/>
          <w:lang w:val="ru-RU"/>
        </w:rPr>
        <w:t>знижувати</w:t>
      </w:r>
      <w:proofErr w:type="spellEnd"/>
      <w:r w:rsidR="00D15A96" w:rsidRPr="00D34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5A96" w:rsidRPr="00D34336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="00D34336" w:rsidRPr="00D34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5A96" w:rsidRPr="00D34336">
        <w:rPr>
          <w:rFonts w:ascii="Times New Roman" w:hAnsi="Times New Roman" w:cs="Times New Roman"/>
          <w:sz w:val="28"/>
          <w:szCs w:val="28"/>
          <w:lang w:val="ru-RU"/>
        </w:rPr>
        <w:t>магнію</w:t>
      </w:r>
      <w:proofErr w:type="spellEnd"/>
      <w:r w:rsidR="00D34336" w:rsidRPr="00D34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A96" w:rsidRPr="00D3433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D15A96" w:rsidRPr="00D34336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="00D15A96" w:rsidRPr="00D343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909BC" w:rsidRPr="00D343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342195" w:rsidRPr="00D34336">
        <w:rPr>
          <w:rFonts w:ascii="Times New Roman" w:hAnsi="Times New Roman" w:cs="Times New Roman"/>
          <w:bCs/>
          <w:sz w:val="28"/>
          <w:szCs w:val="28"/>
          <w:lang w:val="uk-UA"/>
        </w:rPr>
        <w:t>Гіпомагнезіємія</w:t>
      </w:r>
      <w:proofErr w:type="spellEnd"/>
      <w:r w:rsidR="00D34336" w:rsidRPr="00D34336">
        <w:rPr>
          <w:rFonts w:ascii="Times New Roman" w:hAnsi="Times New Roman" w:cs="Times New Roman"/>
          <w:bCs/>
          <w:sz w:val="28"/>
          <w:szCs w:val="28"/>
          <w:lang w:val="uk-UA"/>
        </w:rPr>
        <w:t>, пов’язана</w:t>
      </w:r>
      <w:r w:rsidR="00342195" w:rsidRPr="00D343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зі зниженим активним кишковим поглинанням магнію </w:t>
      </w:r>
      <w:proofErr w:type="spellStart"/>
      <w:r w:rsidR="00342195" w:rsidRPr="00D34336">
        <w:rPr>
          <w:rFonts w:ascii="Times New Roman" w:hAnsi="Times New Roman" w:cs="Times New Roman"/>
          <w:bCs/>
          <w:sz w:val="28"/>
          <w:szCs w:val="28"/>
          <w:lang w:val="uk-UA"/>
        </w:rPr>
        <w:t>транзиторними</w:t>
      </w:r>
      <w:proofErr w:type="spellEnd"/>
      <w:r w:rsidR="00342195" w:rsidRPr="00D343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рецепторними білкових каналів (TRPM 6/7), які стимулюються позаклітинними протонами</w:t>
      </w:r>
      <w:r w:rsidR="005F1C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призводить до зниження </w:t>
      </w:r>
      <w:proofErr w:type="spellStart"/>
      <w:r w:rsidR="005F1C6D">
        <w:rPr>
          <w:rFonts w:ascii="Times New Roman" w:hAnsi="Times New Roman" w:cs="Times New Roman"/>
          <w:bCs/>
          <w:sz w:val="28"/>
          <w:szCs w:val="28"/>
          <w:lang w:val="uk-UA"/>
        </w:rPr>
        <w:t>іммунітету</w:t>
      </w:r>
      <w:proofErr w:type="spellEnd"/>
      <w:r w:rsidR="005F1C6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354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Якщо у пацієнта </w:t>
      </w:r>
      <w:r w:rsidR="00F7195C">
        <w:rPr>
          <w:rFonts w:ascii="Times New Roman" w:hAnsi="Times New Roman" w:cs="Times New Roman"/>
          <w:bCs/>
          <w:sz w:val="28"/>
          <w:szCs w:val="28"/>
          <w:lang w:val="uk-UA"/>
        </w:rPr>
        <w:t>знижена кислотність</w:t>
      </w:r>
      <w:r w:rsidR="006354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80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це призводить до синдрому надмірного бактеріального росту</w:t>
      </w:r>
      <w:r w:rsidR="009A5B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підвищеного ризику бактеріальної аспірації.</w:t>
      </w:r>
    </w:p>
    <w:p w:rsidR="0086613A" w:rsidRDefault="003620A3" w:rsidP="003620A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20A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Чи провокують ІПП розвиток печінкової </w:t>
      </w:r>
      <w:proofErr w:type="spellStart"/>
      <w:r w:rsidRPr="003620A3">
        <w:rPr>
          <w:rFonts w:ascii="Times New Roman" w:hAnsi="Times New Roman" w:cs="Times New Roman"/>
          <w:bCs/>
          <w:i/>
          <w:sz w:val="28"/>
          <w:szCs w:val="28"/>
          <w:lang w:val="uk-UA"/>
        </w:rPr>
        <w:t>енцефалопатії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(ПЕ)</w:t>
      </w:r>
      <w:r w:rsidRPr="003620A3">
        <w:rPr>
          <w:rFonts w:ascii="Times New Roman" w:hAnsi="Times New Roman" w:cs="Times New Roman"/>
          <w:bCs/>
          <w:i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620A3">
        <w:rPr>
          <w:rFonts w:ascii="Times New Roman" w:hAnsi="Times New Roman" w:cs="Times New Roman"/>
          <w:bCs/>
          <w:sz w:val="28"/>
          <w:szCs w:val="28"/>
          <w:lang w:val="uk-UA"/>
        </w:rPr>
        <w:t>ІПП значно збільшують ризик ПЕ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3620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ІПП </w:t>
      </w:r>
      <w:proofErr w:type="spellStart"/>
      <w:r w:rsidRPr="003620A3">
        <w:rPr>
          <w:rFonts w:ascii="Times New Roman" w:hAnsi="Times New Roman" w:cs="Times New Roman"/>
          <w:bCs/>
          <w:sz w:val="28"/>
          <w:szCs w:val="28"/>
          <w:lang w:val="uk-UA"/>
        </w:rPr>
        <w:t>метаболізуються</w:t>
      </w:r>
      <w:proofErr w:type="spellEnd"/>
      <w:r w:rsidRPr="003620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майже виключно у печінці. Основним метаболічним шляхом є </w:t>
      </w:r>
      <w:proofErr w:type="spellStart"/>
      <w:r w:rsidRPr="003620A3">
        <w:rPr>
          <w:rFonts w:ascii="Times New Roman" w:hAnsi="Times New Roman" w:cs="Times New Roman"/>
          <w:bCs/>
          <w:sz w:val="28"/>
          <w:szCs w:val="28"/>
          <w:lang w:val="uk-UA"/>
        </w:rPr>
        <w:t>деметилування</w:t>
      </w:r>
      <w:proofErr w:type="spellEnd"/>
      <w:r w:rsidRPr="003620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допомогою CYP2C19 з подальшою сульфатною кон'югацією, до інших метаболічних шляхів належить окиснення за допомогою CYP3A4.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620A3">
        <w:rPr>
          <w:rFonts w:ascii="Times New Roman" w:hAnsi="Times New Roman" w:cs="Times New Roman"/>
          <w:bCs/>
          <w:sz w:val="28"/>
          <w:szCs w:val="28"/>
          <w:lang w:val="uk-UA"/>
        </w:rPr>
        <w:t>Пацієнтам із ЦП та ПЕ рекомендовано застосування ІПП неухильно за клінічною необхідністю із ретельним контролем ознак ПЕ навіть після короткочасного впливу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6613A" w:rsidRPr="00866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CA2CFF" w:rsidRDefault="00CA2CFF" w:rsidP="00CA2C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2CF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Чи може </w:t>
      </w:r>
      <w:proofErr w:type="spellStart"/>
      <w:r w:rsidR="001C59C2">
        <w:rPr>
          <w:rFonts w:ascii="Times New Roman" w:hAnsi="Times New Roman" w:cs="Times New Roman"/>
          <w:bCs/>
          <w:i/>
          <w:sz w:val="28"/>
          <w:szCs w:val="28"/>
          <w:lang w:val="uk-UA"/>
        </w:rPr>
        <w:t>гастроезофагеальна</w:t>
      </w:r>
      <w:proofErr w:type="spellEnd"/>
      <w:r w:rsidR="001C59C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="001C59C2">
        <w:rPr>
          <w:rFonts w:ascii="Times New Roman" w:hAnsi="Times New Roman" w:cs="Times New Roman"/>
          <w:bCs/>
          <w:i/>
          <w:sz w:val="28"/>
          <w:szCs w:val="28"/>
          <w:lang w:val="uk-UA"/>
        </w:rPr>
        <w:t>рефлюксна</w:t>
      </w:r>
      <w:proofErr w:type="spellEnd"/>
      <w:r w:rsidR="001C59C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хвороба (</w:t>
      </w:r>
      <w:r w:rsidRPr="00CA2CFF">
        <w:rPr>
          <w:rFonts w:ascii="Times New Roman" w:hAnsi="Times New Roman" w:cs="Times New Roman"/>
          <w:bCs/>
          <w:i/>
          <w:sz w:val="28"/>
          <w:szCs w:val="28"/>
          <w:lang w:val="uk-UA"/>
        </w:rPr>
        <w:t>ГЕРХ</w:t>
      </w:r>
      <w:r w:rsidR="001C59C2">
        <w:rPr>
          <w:rFonts w:ascii="Times New Roman" w:hAnsi="Times New Roman" w:cs="Times New Roman"/>
          <w:bCs/>
          <w:i/>
          <w:sz w:val="28"/>
          <w:szCs w:val="28"/>
          <w:lang w:val="uk-UA"/>
        </w:rPr>
        <w:t>)</w:t>
      </w:r>
      <w:r w:rsidRPr="00CA2CF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провокувати кровотечі з </w:t>
      </w:r>
      <w:proofErr w:type="spellStart"/>
      <w:r w:rsidRPr="00CA2CFF">
        <w:rPr>
          <w:rFonts w:ascii="Times New Roman" w:hAnsi="Times New Roman" w:cs="Times New Roman"/>
          <w:bCs/>
          <w:i/>
          <w:sz w:val="28"/>
          <w:szCs w:val="28"/>
          <w:lang w:val="uk-UA"/>
        </w:rPr>
        <w:t>варикозно</w:t>
      </w:r>
      <w:proofErr w:type="spellEnd"/>
      <w:r w:rsidRPr="00CA2CF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розширених вен стравоходу і яка роль ІПП у цьому випадку</w:t>
      </w:r>
      <w:r w:rsidRPr="00CA2C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?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Pr="00CA2C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ідомо, що асцит може посилити симптоми ГЕРХ,  але ряд клінічних випробувань, свідчать, що  ІПП (зокрема, застосування </w:t>
      </w:r>
      <w:proofErr w:type="spellStart"/>
      <w:r w:rsidRPr="00ED588C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Езонекси</w:t>
      </w:r>
      <w:proofErr w:type="spellEnd"/>
      <w:r w:rsidRPr="00CA2CFF">
        <w:rPr>
          <w:rFonts w:ascii="Times New Roman" w:hAnsi="Times New Roman" w:cs="Times New Roman"/>
          <w:bCs/>
          <w:sz w:val="28"/>
          <w:szCs w:val="28"/>
          <w:lang w:val="uk-UA"/>
        </w:rPr>
        <w:t>) не продемонстрували зниження ризику кровотеч, пов’язаних із портальною гіпертензією.</w:t>
      </w:r>
    </w:p>
    <w:p w:rsidR="00ED588C" w:rsidRDefault="00ED588C" w:rsidP="00ED588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588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Чи існує негативний вплив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ІПП</w:t>
      </w:r>
      <w:r w:rsidRPr="00ED588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на </w:t>
      </w:r>
      <w:proofErr w:type="spellStart"/>
      <w:r w:rsidRPr="00ED588C">
        <w:rPr>
          <w:rFonts w:ascii="Times New Roman" w:hAnsi="Times New Roman" w:cs="Times New Roman"/>
          <w:bCs/>
          <w:i/>
          <w:sz w:val="28"/>
          <w:szCs w:val="28"/>
          <w:lang w:val="uk-UA"/>
        </w:rPr>
        <w:t>антитромбоцитарну</w:t>
      </w:r>
      <w:proofErr w:type="spellEnd"/>
      <w:r w:rsidRPr="00ED588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дію </w:t>
      </w:r>
      <w:proofErr w:type="spellStart"/>
      <w:r w:rsidRPr="00ED588C">
        <w:rPr>
          <w:rFonts w:ascii="Times New Roman" w:hAnsi="Times New Roman" w:cs="Times New Roman"/>
          <w:bCs/>
          <w:i/>
          <w:sz w:val="28"/>
          <w:szCs w:val="28"/>
          <w:lang w:val="uk-UA"/>
        </w:rPr>
        <w:t>клопідогрелу</w:t>
      </w:r>
      <w:proofErr w:type="spellEnd"/>
      <w:r w:rsidRPr="00ED588C">
        <w:rPr>
          <w:rFonts w:ascii="Times New Roman" w:hAnsi="Times New Roman" w:cs="Times New Roman"/>
          <w:bCs/>
          <w:i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 одночасному застосуванні декількох препаратів, метаболізм яких відбувається за участю цитохрому Р450, їх ефективність може змінюватися, обговорюється негативний вплив </w:t>
      </w:r>
      <w:proofErr w:type="spellStart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>омепразолу</w:t>
      </w:r>
      <w:proofErr w:type="spellEnd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>езомепразолу</w:t>
      </w:r>
      <w:proofErr w:type="spellEnd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proofErr w:type="spellStart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антитромбоцитарну</w:t>
      </w:r>
      <w:proofErr w:type="spellEnd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дію </w:t>
      </w:r>
      <w:proofErr w:type="spellStart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>клопідогрелу</w:t>
      </w:r>
      <w:proofErr w:type="spellEnd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в наслідок цього, погіршення прогнозу для пацієнтів, які отримують таку паралельну терапію після гострого інфаркту міокарда або при встановленому коронарному </w:t>
      </w:r>
      <w:proofErr w:type="spellStart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>стенті</w:t>
      </w:r>
      <w:proofErr w:type="spellEnd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метою профілактики </w:t>
      </w:r>
      <w:proofErr w:type="spellStart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>гастроінтестинальної</w:t>
      </w:r>
      <w:proofErr w:type="spellEnd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кровотечі. Вважають, що це явище виникає через конкуренцію між ІПП 1-го покоління та </w:t>
      </w:r>
      <w:proofErr w:type="spellStart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>клопідогрелем</w:t>
      </w:r>
      <w:proofErr w:type="spellEnd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один і той же фермент CYP2C19, завдяки якому ці сполуки піддаються метаболізму в печінці з переходом в активну форму. Як запобіжний захід слід уникати одночасного застосування </w:t>
      </w:r>
      <w:proofErr w:type="spellStart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>езомепразолу</w:t>
      </w:r>
      <w:proofErr w:type="spellEnd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>клопідогрелю</w:t>
      </w:r>
      <w:proofErr w:type="spellEnd"/>
      <w:r w:rsidRPr="00ED58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57CA1" w:rsidRDefault="00757CA1" w:rsidP="00757CA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A1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Чи може спостерігатися </w:t>
      </w:r>
      <w:proofErr w:type="spellStart"/>
      <w:r w:rsidRPr="00757CA1">
        <w:rPr>
          <w:rFonts w:ascii="Times New Roman" w:hAnsi="Times New Roman" w:cs="Times New Roman"/>
          <w:bCs/>
          <w:i/>
          <w:sz w:val="28"/>
          <w:szCs w:val="28"/>
          <w:lang w:val="uk-UA"/>
        </w:rPr>
        <w:t>гіпергастринемія</w:t>
      </w:r>
      <w:proofErr w:type="spellEnd"/>
      <w:r w:rsidRPr="00757CA1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при довготривалій терапії ІПП? Що робити в такому випадку ? </w:t>
      </w:r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довготривалої терапії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ІПП</w:t>
      </w:r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 у дітей, так і у дорослих спостерігалося збільшення кількості </w:t>
      </w:r>
      <w:proofErr w:type="spellStart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>ентерохромафіноподібних</w:t>
      </w:r>
      <w:proofErr w:type="spellEnd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клітин (</w:t>
      </w:r>
      <w:proofErr w:type="spellStart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>enterochromaffin-like</w:t>
      </w:r>
      <w:proofErr w:type="spellEnd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>cells</w:t>
      </w:r>
      <w:proofErr w:type="spellEnd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ECL), яке, можливо, було спричинене підвищенням сироваткового рівня </w:t>
      </w:r>
      <w:proofErr w:type="spellStart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>гастрину</w:t>
      </w:r>
      <w:proofErr w:type="spellEnd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Ці результати вважаються клінічно незначущими. Але таким пацієнтам потрібно зробити ЕГДС з біопсією (!): на тлі довготривалого лікування </w:t>
      </w:r>
      <w:proofErr w:type="spellStart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>антисекреторними</w:t>
      </w:r>
      <w:proofErr w:type="spellEnd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препаратами зростає частота утворення шлункових </w:t>
      </w:r>
      <w:proofErr w:type="spellStart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>гландулярних</w:t>
      </w:r>
      <w:proofErr w:type="spellEnd"/>
      <w:r w:rsidRPr="00757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кіст. Такі зміни є фізіологічним наслідком вираженого пригнічення секреції шлункового соку, вони є доброякісні за природою та минають після завершення лікування.</w:t>
      </w:r>
    </w:p>
    <w:p w:rsidR="00EF4A86" w:rsidRDefault="00EF4A86" w:rsidP="00EF4A8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4A8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Чи ІПП збільшують у шлунку кількість бактерій, наявних у </w:t>
      </w:r>
      <w:proofErr w:type="spellStart"/>
      <w:r w:rsidRPr="00EF4A86">
        <w:rPr>
          <w:rFonts w:ascii="Times New Roman" w:hAnsi="Times New Roman" w:cs="Times New Roman"/>
          <w:bCs/>
          <w:i/>
          <w:sz w:val="28"/>
          <w:szCs w:val="28"/>
          <w:lang w:val="uk-UA"/>
        </w:rPr>
        <w:t>гастроінтестинальному</w:t>
      </w:r>
      <w:proofErr w:type="spellEnd"/>
      <w:r w:rsidRPr="00EF4A8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тракті в нормі?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ниження секреції шлункового соку внаслідок застосування будь-якого ІПП збільшує у шлунку кількість бактерій, наявних у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гастроінтестинальному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тракті в нормі. Лікування ІПП може призводити до підвищення ризику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гастроінтестинальної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інфекції, що спричинена, наприклад,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Salmonella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Campilobacter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і у госпіталізованих пацієнтів, можливо, також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Clostridium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difficile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. При розладах дефекації слід зробити бак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теріальний</w:t>
      </w:r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посів калу на патогенну флору.</w:t>
      </w:r>
    </w:p>
    <w:p w:rsidR="00EF4A86" w:rsidRDefault="00EF4A86" w:rsidP="00EF4A8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4A86"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 xml:space="preserve">Чи є застереження щодо призначення ІПП при активному </w:t>
      </w:r>
      <w:proofErr w:type="spellStart"/>
      <w:r w:rsidRPr="00EF4A86">
        <w:rPr>
          <w:rFonts w:ascii="Times New Roman" w:hAnsi="Times New Roman" w:cs="Times New Roman"/>
          <w:bCs/>
          <w:i/>
          <w:sz w:val="28"/>
          <w:szCs w:val="28"/>
          <w:lang w:val="uk-UA"/>
        </w:rPr>
        <w:t>ревматоїдному</w:t>
      </w:r>
      <w:proofErr w:type="spellEnd"/>
      <w:r w:rsidRPr="00EF4A8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артриті у дорослих,  поширеному хронічному псоріазі, особливо у пацієнтів літнього віку та інвалідів, гострому </w:t>
      </w:r>
      <w:proofErr w:type="spellStart"/>
      <w:r w:rsidRPr="00EF4A86">
        <w:rPr>
          <w:rFonts w:ascii="Times New Roman" w:hAnsi="Times New Roman" w:cs="Times New Roman"/>
          <w:bCs/>
          <w:i/>
          <w:sz w:val="28"/>
          <w:szCs w:val="28"/>
          <w:lang w:val="uk-UA"/>
        </w:rPr>
        <w:t>лімфоцитарному</w:t>
      </w:r>
      <w:proofErr w:type="spellEnd"/>
      <w:r w:rsidRPr="00EF4A8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лейкозі? </w:t>
      </w:r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У патогенетичн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ому лікуванні цих</w:t>
      </w:r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захворюван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 призначається</w:t>
      </w:r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метотрексат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повідомлення, що супутнє застосування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метотрексату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омепразолу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подовжує виведення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метотрексату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нирками. При супутньому застосуванні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ІПП</w:t>
      </w:r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може виникнути їх взаємодія. При призначенні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метотрексату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високих дозах слід розглянути можливість тимчасової відміни </w:t>
      </w:r>
      <w:proofErr w:type="spellStart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езомепразолу</w:t>
      </w:r>
      <w:proofErr w:type="spellEnd"/>
      <w:r w:rsidRPr="00EF4A8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76D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7708B" w:rsidRDefault="0097708B" w:rsidP="0097708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708B">
        <w:rPr>
          <w:rFonts w:ascii="Times New Roman" w:hAnsi="Times New Roman" w:cs="Times New Roman"/>
          <w:bCs/>
          <w:sz w:val="28"/>
          <w:szCs w:val="28"/>
          <w:lang w:val="uk-UA"/>
        </w:rPr>
        <w:t>Багато пацієнтів приймають ІПП, і дуже важливо розпізнати, коли показання до застосування більше не існують або коли вони неефективно діють на пацієнта. Наприклад, приблизно у 50% пацієнтів, які приймають ІПП для лікування неерозивної ГЕРХ, симптоми не зникають.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770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цих випадках стає важливим повідомити пацієнту, що збільшення дози ІПП може бути життєздатним варіантом. </w:t>
      </w:r>
      <w:r w:rsidR="00850586">
        <w:rPr>
          <w:rFonts w:ascii="Times New Roman" w:hAnsi="Times New Roman" w:cs="Times New Roman"/>
          <w:bCs/>
          <w:sz w:val="28"/>
          <w:szCs w:val="28"/>
          <w:lang w:val="uk-UA"/>
        </w:rPr>
        <w:t>Для цього потрібно визначитися – це емпірична терапія</w:t>
      </w:r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6927B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ризначення </w:t>
      </w:r>
      <w:r w:rsidR="006927BF">
        <w:rPr>
          <w:rFonts w:ascii="Times New Roman" w:hAnsi="Times New Roman" w:cs="Times New Roman"/>
          <w:bCs/>
          <w:sz w:val="28"/>
          <w:szCs w:val="28"/>
          <w:lang w:val="uk-UA"/>
        </w:rPr>
        <w:t>ІПП</w:t>
      </w:r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40 мг за півгодини до сніданку протягом 4-8 тижнів, при належному контролі симптомів – терапія на вимогу у дозі 20 мг</w:t>
      </w:r>
      <w:r w:rsidR="008505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1F7D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неерозивна </w:t>
      </w:r>
      <w:proofErr w:type="spellStart"/>
      <w:r w:rsidR="001F7DC0">
        <w:rPr>
          <w:rFonts w:ascii="Times New Roman" w:hAnsi="Times New Roman" w:cs="Times New Roman"/>
          <w:bCs/>
          <w:sz w:val="28"/>
          <w:szCs w:val="28"/>
          <w:lang w:val="uk-UA"/>
        </w:rPr>
        <w:t>рефлюксна</w:t>
      </w:r>
      <w:proofErr w:type="spellEnd"/>
      <w:r w:rsidR="001F7D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хвороба та легка (</w:t>
      </w:r>
      <w:r w:rsidR="00E132DF">
        <w:rPr>
          <w:rFonts w:ascii="Times New Roman" w:hAnsi="Times New Roman" w:cs="Times New Roman"/>
          <w:bCs/>
          <w:sz w:val="28"/>
          <w:szCs w:val="28"/>
        </w:rPr>
        <w:t>LA</w:t>
      </w:r>
      <w:r w:rsidR="00E132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32DF">
        <w:rPr>
          <w:rFonts w:ascii="Times New Roman" w:hAnsi="Times New Roman" w:cs="Times New Roman"/>
          <w:bCs/>
          <w:sz w:val="28"/>
          <w:szCs w:val="28"/>
        </w:rPr>
        <w:t>A</w:t>
      </w:r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E132DF">
        <w:rPr>
          <w:rFonts w:ascii="Times New Roman" w:hAnsi="Times New Roman" w:cs="Times New Roman"/>
          <w:bCs/>
          <w:sz w:val="28"/>
          <w:szCs w:val="28"/>
        </w:rPr>
        <w:t>B</w:t>
      </w:r>
      <w:r w:rsidR="00E132DF" w:rsidRPr="00E132DF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6927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</w:t>
      </w:r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ризначення </w:t>
      </w:r>
      <w:r w:rsidR="006927BF">
        <w:rPr>
          <w:rFonts w:ascii="Times New Roman" w:hAnsi="Times New Roman" w:cs="Times New Roman"/>
          <w:bCs/>
          <w:sz w:val="28"/>
          <w:szCs w:val="28"/>
          <w:lang w:val="uk-UA"/>
        </w:rPr>
        <w:t>ІПП</w:t>
      </w:r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40 мг за півгодини до сніданку протягом 6-8 тижнів, при належному контролі симптомів – терапія на вимогу у дозі 20 мг</w:t>
      </w:r>
      <w:r w:rsidR="00FF74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важка ерозивна </w:t>
      </w:r>
      <w:proofErr w:type="spellStart"/>
      <w:r w:rsidR="00FF74E9">
        <w:rPr>
          <w:rFonts w:ascii="Times New Roman" w:hAnsi="Times New Roman" w:cs="Times New Roman"/>
          <w:bCs/>
          <w:sz w:val="28"/>
          <w:szCs w:val="28"/>
          <w:lang w:val="uk-UA"/>
        </w:rPr>
        <w:t>рефлюксна</w:t>
      </w:r>
      <w:proofErr w:type="spellEnd"/>
      <w:r w:rsidR="00FF74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хвороба</w:t>
      </w:r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6927BF">
        <w:rPr>
          <w:rFonts w:ascii="Times New Roman" w:hAnsi="Times New Roman" w:cs="Times New Roman"/>
          <w:bCs/>
          <w:sz w:val="28"/>
          <w:szCs w:val="28"/>
        </w:rPr>
        <w:t>LA</w:t>
      </w:r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27BF">
        <w:rPr>
          <w:rFonts w:ascii="Times New Roman" w:hAnsi="Times New Roman" w:cs="Times New Roman"/>
          <w:bCs/>
          <w:sz w:val="28"/>
          <w:szCs w:val="28"/>
        </w:rPr>
        <w:t>C</w:t>
      </w:r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6927BF">
        <w:rPr>
          <w:rFonts w:ascii="Times New Roman" w:hAnsi="Times New Roman" w:cs="Times New Roman"/>
          <w:bCs/>
          <w:sz w:val="28"/>
          <w:szCs w:val="28"/>
        </w:rPr>
        <w:t>D</w:t>
      </w:r>
      <w:r w:rsidR="006927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стравохід </w:t>
      </w:r>
      <w:proofErr w:type="spellStart"/>
      <w:r w:rsidR="006927BF">
        <w:rPr>
          <w:rFonts w:ascii="Times New Roman" w:hAnsi="Times New Roman" w:cs="Times New Roman"/>
          <w:bCs/>
          <w:sz w:val="28"/>
          <w:szCs w:val="28"/>
          <w:lang w:val="uk-UA"/>
        </w:rPr>
        <w:t>Баррета</w:t>
      </w:r>
      <w:proofErr w:type="spellEnd"/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6927BF" w:rsidRPr="006927BF">
        <w:rPr>
          <w:lang w:val="uk-UA"/>
        </w:rPr>
        <w:t xml:space="preserve"> </w:t>
      </w:r>
      <w:r w:rsidR="006927BF" w:rsidRPr="006927BF">
        <w:rPr>
          <w:rFonts w:ascii="Times New Roman" w:hAnsi="Times New Roman" w:cs="Times New Roman"/>
          <w:bCs/>
          <w:sz w:val="28"/>
          <w:szCs w:val="28"/>
          <w:lang w:val="uk-UA"/>
        </w:rPr>
        <w:t>40-80 мг за півгодини до сніданку протягом 8 тижнів, контрольна ВЕГДС для прийняття рішення про подальше ведення пацієнта</w:t>
      </w:r>
      <w:r w:rsidR="006927B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F74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770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Однак, враховуючи кількість потенційних побічних ефектів, пов’язаних із довгостроковим ІПП, </w:t>
      </w:r>
      <w:r w:rsidR="001C7A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думку Всесвітньої </w:t>
      </w:r>
      <w:r w:rsidR="001C7A9D" w:rsidRPr="001C7A9D">
        <w:rPr>
          <w:rFonts w:ascii="Times New Roman" w:hAnsi="Times New Roman" w:cs="Times New Roman"/>
          <w:bCs/>
          <w:sz w:val="28"/>
          <w:szCs w:val="28"/>
          <w:lang w:val="uk-UA"/>
        </w:rPr>
        <w:t>команди охорони здоров’я</w:t>
      </w:r>
      <w:r w:rsidR="001C7A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="001C7A9D" w:rsidRPr="001C7A9D">
        <w:rPr>
          <w:rFonts w:ascii="Times New Roman" w:hAnsi="Times New Roman" w:cs="Times New Roman"/>
          <w:bCs/>
          <w:sz w:val="28"/>
          <w:szCs w:val="28"/>
          <w:lang w:val="uk-UA"/>
        </w:rPr>
        <w:t>Enhancing</w:t>
      </w:r>
      <w:proofErr w:type="spellEnd"/>
      <w:r w:rsidR="001C7A9D" w:rsidRPr="001C7A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C7A9D" w:rsidRPr="001C7A9D">
        <w:rPr>
          <w:rFonts w:ascii="Times New Roman" w:hAnsi="Times New Roman" w:cs="Times New Roman"/>
          <w:bCs/>
          <w:sz w:val="28"/>
          <w:szCs w:val="28"/>
          <w:lang w:val="uk-UA"/>
        </w:rPr>
        <w:t>Healthcare</w:t>
      </w:r>
      <w:proofErr w:type="spellEnd"/>
      <w:r w:rsidR="001C7A9D" w:rsidRPr="001C7A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C7A9D" w:rsidRPr="001C7A9D">
        <w:rPr>
          <w:rFonts w:ascii="Times New Roman" w:hAnsi="Times New Roman" w:cs="Times New Roman"/>
          <w:bCs/>
          <w:sz w:val="28"/>
          <w:szCs w:val="28"/>
          <w:lang w:val="uk-UA"/>
        </w:rPr>
        <w:t>Team</w:t>
      </w:r>
      <w:proofErr w:type="spellEnd"/>
      <w:r w:rsidR="001C7A9D" w:rsidRPr="001C7A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C7A9D" w:rsidRPr="001C7A9D">
        <w:rPr>
          <w:rFonts w:ascii="Times New Roman" w:hAnsi="Times New Roman" w:cs="Times New Roman"/>
          <w:bCs/>
          <w:sz w:val="28"/>
          <w:szCs w:val="28"/>
          <w:lang w:val="uk-UA"/>
        </w:rPr>
        <w:t>Outcomes</w:t>
      </w:r>
      <w:proofErr w:type="spellEnd"/>
      <w:r w:rsidR="001C7A9D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1C7A9D" w:rsidRPr="001C7A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C7A9D" w:rsidRPr="001C7A9D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1C7A9D">
        <w:rPr>
          <w:rFonts w:ascii="Times New Roman" w:hAnsi="Times New Roman" w:cs="Times New Roman"/>
          <w:bCs/>
          <w:sz w:val="28"/>
          <w:szCs w:val="28"/>
          <w:lang w:val="uk-UA"/>
        </w:rPr>
        <w:t>для п</w:t>
      </w:r>
      <w:r w:rsidR="001C7A9D" w:rsidRPr="001C7A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окращення результатів </w:t>
      </w:r>
      <w:r w:rsidRPr="009770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доцільно призначати найнижчу ефективну дозу протягом найкоротшого можливого періоду та підтримувати адекватний </w:t>
      </w:r>
      <w:r w:rsidRPr="0097708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рівень взаєморозуміння з пацієнтами, щоб пристосуватися відповідно до їхніх потреб</w:t>
      </w:r>
      <w:r w:rsidR="006E580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E5801" w:rsidRPr="006E5801" w:rsidRDefault="006E5801" w:rsidP="006E580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Слід також враховувати композиції та способи доставки ІПП</w:t>
      </w:r>
      <w:r w:rsidRPr="006E5801">
        <w:rPr>
          <w:rFonts w:ascii="Times New Roman" w:hAnsi="Times New Roman" w:cs="Times New Roman"/>
          <w:bCs/>
          <w:sz w:val="28"/>
          <w:szCs w:val="28"/>
          <w:lang w:val="uk-UA"/>
        </w:rPr>
        <w:t>: часто розроблені спеціально для запобігання передчасні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й активації шлунковою кислотою</w:t>
      </w:r>
      <w:r w:rsidRPr="006E5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</w:rPr>
        <w:t>n</w:t>
      </w:r>
      <w:proofErr w:type="spellStart"/>
      <w:r w:rsidRPr="006E5801">
        <w:rPr>
          <w:rFonts w:ascii="Times New Roman" w:hAnsi="Times New Roman" w:cs="Times New Roman"/>
          <w:bCs/>
          <w:sz w:val="28"/>
          <w:szCs w:val="28"/>
          <w:lang w:val="uk-UA"/>
        </w:rPr>
        <w:t>аблетки</w:t>
      </w:r>
      <w:proofErr w:type="spellEnd"/>
      <w:r w:rsidRPr="006E5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вкриті </w:t>
      </w:r>
      <w:proofErr w:type="spellStart"/>
      <w:r w:rsidRPr="006E5801">
        <w:rPr>
          <w:rFonts w:ascii="Times New Roman" w:hAnsi="Times New Roman" w:cs="Times New Roman"/>
          <w:bCs/>
          <w:sz w:val="28"/>
          <w:szCs w:val="28"/>
          <w:lang w:val="uk-UA"/>
        </w:rPr>
        <w:t>кишковорозчинною</w:t>
      </w:r>
      <w:proofErr w:type="spellEnd"/>
      <w:r w:rsidRPr="006E5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оболонкою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ж</w:t>
      </w:r>
      <w:r w:rsidRPr="006E5801">
        <w:rPr>
          <w:rFonts w:ascii="Times New Roman" w:hAnsi="Times New Roman" w:cs="Times New Roman"/>
          <w:bCs/>
          <w:sz w:val="28"/>
          <w:szCs w:val="28"/>
          <w:lang w:val="uk-UA"/>
        </w:rPr>
        <w:t>елатинові капсули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г</w:t>
      </w:r>
      <w:r w:rsidRPr="006E5801">
        <w:rPr>
          <w:rFonts w:ascii="Times New Roman" w:hAnsi="Times New Roman" w:cs="Times New Roman"/>
          <w:bCs/>
          <w:sz w:val="28"/>
          <w:szCs w:val="28"/>
          <w:lang w:val="uk-UA"/>
        </w:rPr>
        <w:t>ранули вкриті оболонкою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E5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вигляді суспензії, розчин для ін’єкцій та </w:t>
      </w:r>
      <w:proofErr w:type="spellStart"/>
      <w:r w:rsidRPr="006E5801">
        <w:rPr>
          <w:rFonts w:ascii="Times New Roman" w:hAnsi="Times New Roman" w:cs="Times New Roman"/>
          <w:bCs/>
          <w:sz w:val="28"/>
          <w:szCs w:val="28"/>
          <w:lang w:val="uk-UA"/>
        </w:rPr>
        <w:t>інфузій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у</w:t>
      </w:r>
      <w:r w:rsidRPr="006E5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поєднанні з бікарбонатом для тимчасової нейтралізації просвітної шлункової кислоти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D4DD5" w:rsidRDefault="006E5AAC" w:rsidP="006E5AA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5AA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Яке місце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ІПП</w:t>
      </w:r>
      <w:r w:rsidRPr="006E5AA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згідно з </w:t>
      </w:r>
      <w:proofErr w:type="spellStart"/>
      <w:r w:rsidRPr="006E5AAC">
        <w:rPr>
          <w:rFonts w:ascii="Times New Roman" w:hAnsi="Times New Roman" w:cs="Times New Roman"/>
          <w:bCs/>
          <w:i/>
          <w:sz w:val="28"/>
          <w:szCs w:val="28"/>
          <w:lang w:val="uk-UA"/>
        </w:rPr>
        <w:t>Маастрихт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6E5AAC">
        <w:rPr>
          <w:rFonts w:ascii="Times New Roman" w:hAnsi="Times New Roman" w:cs="Times New Roman"/>
          <w:bCs/>
          <w:i/>
          <w:sz w:val="28"/>
          <w:szCs w:val="28"/>
          <w:lang w:val="uk-UA"/>
        </w:rPr>
        <w:t>VI ?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6E5A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Маастрихтський консенсус є ключовим документом, що узагальнює основні принципи діагностики та лікування з позицій доказової медицини. Відповідно до оновленого консенсусу, терапією 1-ої лінії для </w:t>
      </w:r>
      <w:proofErr w:type="spellStart"/>
      <w:r w:rsidRPr="006E5AAC">
        <w:rPr>
          <w:rFonts w:ascii="Times New Roman" w:hAnsi="Times New Roman" w:cs="Times New Roman"/>
          <w:bCs/>
          <w:sz w:val="28"/>
          <w:szCs w:val="28"/>
          <w:lang w:val="uk-UA"/>
        </w:rPr>
        <w:t>ерадикації</w:t>
      </w:r>
      <w:proofErr w:type="spellEnd"/>
      <w:r w:rsidRPr="006E5A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H. </w:t>
      </w:r>
      <w:proofErr w:type="spellStart"/>
      <w:r w:rsidRPr="006E5AAC">
        <w:rPr>
          <w:rFonts w:ascii="Times New Roman" w:hAnsi="Times New Roman" w:cs="Times New Roman"/>
          <w:bCs/>
          <w:sz w:val="28"/>
          <w:szCs w:val="28"/>
          <w:lang w:val="uk-UA"/>
        </w:rPr>
        <w:t>pylori</w:t>
      </w:r>
      <w:proofErr w:type="spellEnd"/>
      <w:r w:rsidRPr="006E5A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залишається потрійна комбінація </w:t>
      </w:r>
      <w:proofErr w:type="spellStart"/>
      <w:r w:rsidRPr="006E5AAC">
        <w:rPr>
          <w:rFonts w:ascii="Times New Roman" w:hAnsi="Times New Roman" w:cs="Times New Roman"/>
          <w:bCs/>
          <w:sz w:val="28"/>
          <w:szCs w:val="28"/>
          <w:lang w:val="uk-UA"/>
        </w:rPr>
        <w:t>інгібітора</w:t>
      </w:r>
      <w:proofErr w:type="spellEnd"/>
      <w:r w:rsidRPr="006E5A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протонної помпи (ІПП), </w:t>
      </w:r>
      <w:proofErr w:type="spellStart"/>
      <w:r w:rsidRPr="006E5AAC">
        <w:rPr>
          <w:rFonts w:ascii="Times New Roman" w:hAnsi="Times New Roman" w:cs="Times New Roman"/>
          <w:bCs/>
          <w:sz w:val="28"/>
          <w:szCs w:val="28"/>
          <w:lang w:val="uk-UA"/>
        </w:rPr>
        <w:t>амоксициліну</w:t>
      </w:r>
      <w:proofErr w:type="spellEnd"/>
      <w:r w:rsidRPr="006E5A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6E5AAC">
        <w:rPr>
          <w:rFonts w:ascii="Times New Roman" w:hAnsi="Times New Roman" w:cs="Times New Roman"/>
          <w:bCs/>
          <w:sz w:val="28"/>
          <w:szCs w:val="28"/>
          <w:lang w:val="uk-UA"/>
        </w:rPr>
        <w:t>кларитроміцину</w:t>
      </w:r>
      <w:proofErr w:type="spellEnd"/>
      <w:r w:rsidRPr="006E5A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Градація 1 відповідає суворій рекомендації і вказує на чітку позицію експертів щодо використання або невикористання сформульованого положення. </w:t>
      </w:r>
    </w:p>
    <w:p w:rsidR="00076D6D" w:rsidRPr="009075CB" w:rsidRDefault="006D4DD5" w:rsidP="006E5AA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Таким чином, застосування ІПП</w:t>
      </w:r>
      <w:r w:rsidR="006E5AAC" w:rsidRPr="006E5A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базується на доказах високої якості та передбачає високу впевненість у тому, що переваги застосування положення переважають потенційні ризики</w:t>
      </w:r>
      <w:r w:rsidR="001214E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075CB" w:rsidRDefault="009075CB" w:rsidP="00481F6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782E" w:rsidRPr="00D8070B" w:rsidRDefault="00D8070B" w:rsidP="003620A3">
      <w:pPr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НІДЕ НЕ ОПУБЛІКОВАНО РАНІШЕ </w:t>
      </w:r>
      <w:r w:rsidRPr="00D807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нехай зберігається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репозитарії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НМУ</w:t>
      </w:r>
    </w:p>
    <w:p w:rsidR="00E5782E" w:rsidRPr="000B12CF" w:rsidRDefault="00E5782E" w:rsidP="000B12C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E5782E" w:rsidRPr="000B1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3798D"/>
    <w:multiLevelType w:val="hybridMultilevel"/>
    <w:tmpl w:val="DE3AD3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0D"/>
    <w:rsid w:val="000124B2"/>
    <w:rsid w:val="00013751"/>
    <w:rsid w:val="000348EF"/>
    <w:rsid w:val="00076D6D"/>
    <w:rsid w:val="000B12CF"/>
    <w:rsid w:val="00113664"/>
    <w:rsid w:val="001214E8"/>
    <w:rsid w:val="00160DF8"/>
    <w:rsid w:val="00162994"/>
    <w:rsid w:val="001C59C2"/>
    <w:rsid w:val="001C7A9D"/>
    <w:rsid w:val="001F7DC0"/>
    <w:rsid w:val="00232CBB"/>
    <w:rsid w:val="0026365C"/>
    <w:rsid w:val="00270DF8"/>
    <w:rsid w:val="0028099E"/>
    <w:rsid w:val="00282AC6"/>
    <w:rsid w:val="002E675B"/>
    <w:rsid w:val="002E7146"/>
    <w:rsid w:val="00342195"/>
    <w:rsid w:val="00361A7D"/>
    <w:rsid w:val="003620A3"/>
    <w:rsid w:val="003909BC"/>
    <w:rsid w:val="00481F6C"/>
    <w:rsid w:val="004857AB"/>
    <w:rsid w:val="004A4CAB"/>
    <w:rsid w:val="004F077B"/>
    <w:rsid w:val="00507BAC"/>
    <w:rsid w:val="00540B24"/>
    <w:rsid w:val="00576484"/>
    <w:rsid w:val="005D0BD3"/>
    <w:rsid w:val="005F1C6D"/>
    <w:rsid w:val="00611CA9"/>
    <w:rsid w:val="006354BF"/>
    <w:rsid w:val="00666724"/>
    <w:rsid w:val="006854F8"/>
    <w:rsid w:val="006927BF"/>
    <w:rsid w:val="006D4362"/>
    <w:rsid w:val="006D4DD5"/>
    <w:rsid w:val="006E5801"/>
    <w:rsid w:val="006E5AAC"/>
    <w:rsid w:val="006F3D8F"/>
    <w:rsid w:val="00752A2F"/>
    <w:rsid w:val="00752BBA"/>
    <w:rsid w:val="00757CA1"/>
    <w:rsid w:val="00781B37"/>
    <w:rsid w:val="00783D63"/>
    <w:rsid w:val="007B300D"/>
    <w:rsid w:val="007E3383"/>
    <w:rsid w:val="008301BE"/>
    <w:rsid w:val="00850586"/>
    <w:rsid w:val="00852A2A"/>
    <w:rsid w:val="0086613A"/>
    <w:rsid w:val="009075CB"/>
    <w:rsid w:val="00927209"/>
    <w:rsid w:val="0097708B"/>
    <w:rsid w:val="009A24E2"/>
    <w:rsid w:val="009A5B0D"/>
    <w:rsid w:val="009E499A"/>
    <w:rsid w:val="00A56526"/>
    <w:rsid w:val="00A76B7E"/>
    <w:rsid w:val="00A9368E"/>
    <w:rsid w:val="00B06005"/>
    <w:rsid w:val="00B42B6C"/>
    <w:rsid w:val="00B60719"/>
    <w:rsid w:val="00B7008C"/>
    <w:rsid w:val="00B90837"/>
    <w:rsid w:val="00BA6C82"/>
    <w:rsid w:val="00C34DD9"/>
    <w:rsid w:val="00C47E36"/>
    <w:rsid w:val="00CA2CFF"/>
    <w:rsid w:val="00D15A96"/>
    <w:rsid w:val="00D34336"/>
    <w:rsid w:val="00D463AA"/>
    <w:rsid w:val="00D8070B"/>
    <w:rsid w:val="00DE5348"/>
    <w:rsid w:val="00E132DF"/>
    <w:rsid w:val="00E40DE3"/>
    <w:rsid w:val="00E4115A"/>
    <w:rsid w:val="00E528BA"/>
    <w:rsid w:val="00E56400"/>
    <w:rsid w:val="00E5782E"/>
    <w:rsid w:val="00E96D80"/>
    <w:rsid w:val="00ED3242"/>
    <w:rsid w:val="00ED588C"/>
    <w:rsid w:val="00EF4A86"/>
    <w:rsid w:val="00EF5971"/>
    <w:rsid w:val="00F01338"/>
    <w:rsid w:val="00F10D78"/>
    <w:rsid w:val="00F33574"/>
    <w:rsid w:val="00F7195C"/>
    <w:rsid w:val="00FC3235"/>
    <w:rsid w:val="00FF2377"/>
    <w:rsid w:val="00FF3D92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6B13-877D-40A3-BCC4-B68F0BC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B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4062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799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8434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060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09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495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024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567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D41A-7ECE-40CF-9B8D-C4D750C9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59</cp:revision>
  <dcterms:created xsi:type="dcterms:W3CDTF">2023-11-05T21:10:00Z</dcterms:created>
  <dcterms:modified xsi:type="dcterms:W3CDTF">2025-02-06T07:08:00Z</dcterms:modified>
</cp:coreProperties>
</file>