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3A32" w14:textId="5FCF7C65" w:rsidR="00EB4BC2" w:rsidRPr="00DD4D43" w:rsidRDefault="00EB4BC2" w:rsidP="00201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D43">
        <w:rPr>
          <w:rFonts w:ascii="Times New Roman" w:hAnsi="Times New Roman" w:cs="Times New Roman"/>
          <w:sz w:val="28"/>
          <w:szCs w:val="28"/>
          <w:lang w:val="ru-RU"/>
        </w:rPr>
        <w:t>УДК</w:t>
      </w:r>
      <w:r w:rsidR="00423E6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D4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3E62" w:rsidRPr="00423E62">
        <w:rPr>
          <w:rFonts w:ascii="Times New Roman" w:hAnsi="Times New Roman" w:cs="Times New Roman"/>
          <w:sz w:val="28"/>
          <w:szCs w:val="28"/>
          <w:lang w:val="ru-RU"/>
        </w:rPr>
        <w:t>616-01</w:t>
      </w:r>
    </w:p>
    <w:p w14:paraId="31F20AC2" w14:textId="6D11C869" w:rsidR="00EB4BC2" w:rsidRPr="00DD4D43" w:rsidRDefault="00EB4BC2" w:rsidP="00CA7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4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ПИТАННЯ НАДАННЯ СТОМАТОЛОГІЧНОЇ ДОПОМОГИ В УКРАЇНІ. СУДОВО-МЕДИЧНІ </w:t>
      </w:r>
      <w:r w:rsidR="00CA77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АСПЕКТИ</w:t>
      </w:r>
    </w:p>
    <w:p w14:paraId="07416A52" w14:textId="77777777" w:rsidR="00F66088" w:rsidRPr="00201608" w:rsidRDefault="00F66088" w:rsidP="0020160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</w:pPr>
    </w:p>
    <w:p w14:paraId="7398822F" w14:textId="740D7430" w:rsidR="00F66088" w:rsidRPr="00201608" w:rsidRDefault="00EB4BC2" w:rsidP="00201608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Плетенецька Аліна Олександрівна</w:t>
      </w:r>
      <w:r w:rsidR="00F66088"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,</w:t>
      </w:r>
    </w:p>
    <w:p w14:paraId="3CC74055" w14:textId="37776459" w:rsidR="00F66088" w:rsidRPr="00201608" w:rsidRDefault="00F66088" w:rsidP="00201608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bookmarkStart w:id="0" w:name="_Hlk28432347"/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к.</w:t>
      </w:r>
      <w:r w:rsidR="00EB4BC2"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мед</w:t>
      </w: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 xml:space="preserve">.н., </w:t>
      </w:r>
      <w:r w:rsidR="00EB4BC2"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асистент</w:t>
      </w:r>
    </w:p>
    <w:bookmarkEnd w:id="0"/>
    <w:p w14:paraId="24CB7AE1" w14:textId="77777777" w:rsidR="00C80F98" w:rsidRPr="00201608" w:rsidRDefault="00C80F98" w:rsidP="00C80F98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en-GB"/>
        </w:rPr>
        <w:t>Михайличенко Борис Валентинович,</w:t>
      </w:r>
    </w:p>
    <w:p w14:paraId="2D35CC5A" w14:textId="77777777" w:rsidR="00C80F98" w:rsidRPr="00201608" w:rsidRDefault="00C80F98" w:rsidP="00C80F98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д.мед.н., професор</w:t>
      </w:r>
    </w:p>
    <w:p w14:paraId="42FBCF13" w14:textId="23F46170" w:rsidR="00F66088" w:rsidRPr="00201608" w:rsidRDefault="00EB4BC2" w:rsidP="0020160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Ергард Наталія Микола</w:t>
      </w:r>
      <w:r w:rsidR="006C522D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ї</w:t>
      </w:r>
      <w:r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вна</w:t>
      </w:r>
      <w:r w:rsidR="00F66088"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,</w:t>
      </w:r>
    </w:p>
    <w:p w14:paraId="77544C2C" w14:textId="285A793F" w:rsidR="00EB4BC2" w:rsidRPr="00201608" w:rsidRDefault="00EB4BC2" w:rsidP="00201608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к.мед.н., доцент</w:t>
      </w:r>
    </w:p>
    <w:p w14:paraId="32C6FBF4" w14:textId="38DE56CD" w:rsidR="00EB4BC2" w:rsidRPr="00201608" w:rsidRDefault="00EB4BC2" w:rsidP="00201608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en-GB"/>
        </w:rPr>
        <w:t>Біляков Андрій Миколайович,</w:t>
      </w:r>
    </w:p>
    <w:p w14:paraId="500010BE" w14:textId="27D377ED" w:rsidR="00EB4BC2" w:rsidRPr="00201608" w:rsidRDefault="00EB4BC2" w:rsidP="00201608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д.мед.н., професор</w:t>
      </w:r>
    </w:p>
    <w:p w14:paraId="76D77337" w14:textId="35E4290D" w:rsidR="00EB4BC2" w:rsidRPr="00201608" w:rsidRDefault="00EB4BC2" w:rsidP="00423E62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Національний медичний університет імені О. О. Богомольця,</w:t>
      </w:r>
    </w:p>
    <w:p w14:paraId="3343E092" w14:textId="4ADC0C7A" w:rsidR="00EB4BC2" w:rsidRPr="00201608" w:rsidRDefault="00EB4BC2" w:rsidP="00423E62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кафедра судової медицини та медичного права</w:t>
      </w:r>
    </w:p>
    <w:p w14:paraId="723CD347" w14:textId="3DEFED12" w:rsidR="00F66088" w:rsidRPr="00201608" w:rsidRDefault="00EB4BC2" w:rsidP="0020160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м. Київ, Україна</w:t>
      </w:r>
      <w:r w:rsidR="00F66088" w:rsidRPr="0020160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</w:t>
      </w:r>
    </w:p>
    <w:p w14:paraId="228234E5" w14:textId="0A2C726D" w:rsidR="00F66088" w:rsidRPr="00201608" w:rsidRDefault="000C0A07" w:rsidP="0020160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fantasyalinka</w:t>
      </w: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@</w:t>
      </w: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gmail</w:t>
      </w: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.</w:t>
      </w: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com</w:t>
      </w:r>
    </w:p>
    <w:p w14:paraId="71221BCA" w14:textId="77777777" w:rsidR="00C80F98" w:rsidRPr="00201608" w:rsidRDefault="00C80F98" w:rsidP="00C80F9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mbv111958@gmail.com</w:t>
      </w:r>
    </w:p>
    <w:p w14:paraId="286A26E1" w14:textId="221DADC1" w:rsidR="000C0A07" w:rsidRPr="00201608" w:rsidRDefault="000C0A07" w:rsidP="0020160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ergard2017@ukr.net</w:t>
      </w:r>
    </w:p>
    <w:p w14:paraId="7447A09D" w14:textId="6D31912D" w:rsidR="000C0A07" w:rsidRPr="00201608" w:rsidRDefault="000C0A07" w:rsidP="00201608">
      <w:pP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  <w:t>venik316@gmail.com</w:t>
      </w:r>
    </w:p>
    <w:p w14:paraId="7833F075" w14:textId="77777777" w:rsidR="00F66088" w:rsidRPr="00201608" w:rsidRDefault="00F66088" w:rsidP="00201608">
      <w:pPr>
        <w:spacing w:after="0" w:line="360" w:lineRule="auto"/>
        <w:ind w:firstLine="38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en-GB"/>
        </w:rPr>
      </w:pPr>
    </w:p>
    <w:p w14:paraId="5BE9D529" w14:textId="0A7D90F1" w:rsidR="007750C4" w:rsidRPr="007750C4" w:rsidRDefault="00F66088" w:rsidP="007F7B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Анотац</w:t>
      </w:r>
      <w:r w:rsidR="007F7B3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і</w:t>
      </w:r>
      <w:r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я</w:t>
      </w:r>
      <w:r w:rsidR="007F7B3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.</w:t>
      </w:r>
      <w:r w:rsidRPr="007750C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</w:t>
      </w:r>
      <w:r w:rsidR="007750C4" w:rsidRPr="007750C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Питання якості та правильності надання медичної допомоги повстало особливо гостро у сучасному житті. </w:t>
      </w:r>
      <w:r w:rsidR="009E107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Д</w:t>
      </w:r>
      <w:r w:rsidR="007750C4" w:rsidRPr="007750C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ефекти, що допускаються стоматологами, можуть призвести і до </w:t>
      </w:r>
      <w:r w:rsid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тя</w:t>
      </w:r>
      <w:r w:rsidR="007750C4" w:rsidRPr="007750C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жких наслідків. </w:t>
      </w:r>
      <w:r w:rsidR="007750C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У статті проведено дослідження</w:t>
      </w:r>
      <w:r w:rsidR="007750C4" w:rsidRPr="007750C4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комісійних судово-медичних експертиз, виконаних у судово-медичному відділі ДУ «Головного бюро судово-медичної експертизи МОЗ України» за 2012-2019 рр за справами стосовно дефектів надання медичної допомоги, у тому числі стоматологічного профілю</w:t>
      </w:r>
      <w:r w:rsid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, та виявлено, що серед них переважали: </w:t>
      </w:r>
      <w:r w:rsidR="00D275A7" w:rsidRP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дефекти протезування, ускладнення після стоматологічного лікування, </w:t>
      </w:r>
      <w:r w:rsidR="00D275A7" w:rsidRP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lastRenderedPageBreak/>
        <w:t>пов’язані з гіпердіагностикою, гнійні ускладнення, попадання матеріалів пломбування</w:t>
      </w:r>
      <w:r w:rsid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. У</w:t>
      </w:r>
      <w:r w:rsidR="00D275A7" w:rsidRP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складню</w:t>
      </w:r>
      <w:r w:rsidR="00430766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ють</w:t>
      </w:r>
      <w:r w:rsidR="00D275A7" w:rsidRP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оцінку якості надання медичної допомоги при проведенні судово-медичної експертизи </w:t>
      </w:r>
      <w:r w:rsid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труднощі</w:t>
      </w:r>
      <w:r w:rsidR="00921BDC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у</w:t>
      </w:r>
      <w:r w:rsid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</w:t>
      </w:r>
      <w:r w:rsidR="00D275A7" w:rsidRPr="00D275A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вилученні електронної медичної документації.</w:t>
      </w:r>
    </w:p>
    <w:p w14:paraId="448C7EEA" w14:textId="68C6398E" w:rsidR="00F66088" w:rsidRPr="00201608" w:rsidRDefault="00F66088" w:rsidP="007F7B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</w:pPr>
      <w:r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>Ключ</w:t>
      </w:r>
      <w:r w:rsidR="00EB4BC2"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GB"/>
        </w:rPr>
        <w:t>ові</w:t>
      </w:r>
      <w:r w:rsidRPr="0020160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en-GB"/>
        </w:rPr>
        <w:t xml:space="preserve"> слова: </w:t>
      </w:r>
      <w:r w:rsidR="00EB4BC2" w:rsidRPr="0020160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дефект</w:t>
      </w:r>
      <w:r w:rsidR="00B139E6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>,</w:t>
      </w:r>
      <w:r w:rsidR="00EB4BC2" w:rsidRPr="0020160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en-GB"/>
        </w:rPr>
        <w:t xml:space="preserve"> надання медичної допомоги, стоматологія, судово-медічна експертиза.</w:t>
      </w:r>
    </w:p>
    <w:p w14:paraId="19F55FC3" w14:textId="77777777" w:rsidR="00F66088" w:rsidRPr="00201608" w:rsidRDefault="00F66088" w:rsidP="00201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14:paraId="0255DD6B" w14:textId="5943DA35" w:rsidR="00076632" w:rsidRPr="00201608" w:rsidRDefault="00DD4D43" w:rsidP="00DD4D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D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</w:t>
      </w:r>
      <w:r w:rsidR="0006363E" w:rsidRPr="00DD4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E5D8D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якості та правильності надання медичної допомоги повстало особливо гостро у сучасному житті, на що наголошується все частіше у засобах ЗМІ [1-4]. За даними звітів Генеральної прокуратури України про кримінальні правопорушення по державі, кількість лікарів, яких звинувачують у неякісному лікуванні, постійно зростає [5]. </w:t>
      </w:r>
    </w:p>
    <w:p w14:paraId="5D66B0CF" w14:textId="02B4F702" w:rsidR="00076632" w:rsidRPr="00201608" w:rsidRDefault="00076632" w:rsidP="002016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Дефекти надання медичної допомоги у практиці стоматологів зустрічаються нечасто. Зі стрімким розвитком стоматологічної галузі якість матеріалів, апаратури тощо значно покращилась за останні роки. Втім, дефекти, що допускаються стоматологами, можуть призвести і до </w:t>
      </w:r>
      <w:r w:rsidR="00D27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жких наслідків. Так мешканцю Англії Тому Рею під час видалення каменів дантист випадково проткнув ясна</w:t>
      </w:r>
      <w:r w:rsidR="00465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</w:t>
      </w: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цей прокол в кровотік потрапили небезпечні патогени. Внаслідок сепсису, що розвинувся, пацієнту ампутували руки, ноги та частину роту [6]. </w:t>
      </w:r>
    </w:p>
    <w:p w14:paraId="5602EDA0" w14:textId="565E1F43" w:rsidR="00076632" w:rsidRPr="00201608" w:rsidRDefault="00076632" w:rsidP="002016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Подібні випадки зустрічаються</w:t>
      </w:r>
      <w:r w:rsidR="00423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рідко</w:t>
      </w:r>
      <w:proofErr w:type="spellEnd"/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проте кількість пацієнтів, незадоволених результатами лікування та діагностики, як в Україні, так і в інших країну світу, доволі велика. Втім, за статистичним даними, </w:t>
      </w:r>
      <w:r w:rsidR="004654F2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країнах пострадянського простору обґрунтованими</w:t>
      </w:r>
      <w:r w:rsidR="004654F2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F2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4654F2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менше третини позовів до суду щодо неякісної стоматологічної допомоги [7].</w:t>
      </w:r>
      <w:r w:rsidR="00BF4B6B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Подібну статистику в Україні знайти вкрай важко, оскільки вона замовчується.</w:t>
      </w:r>
    </w:p>
    <w:p w14:paraId="5A5E4125" w14:textId="11A16365" w:rsidR="00E92EC7" w:rsidRPr="00201608" w:rsidRDefault="00ED5D66" w:rsidP="002016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E5D8D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гідно статті 214 Кримінального процесуального Кодексу України [</w:t>
      </w:r>
      <w:r w:rsidR="00076632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E5D8D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9E5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5D8D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слідчий, прокурор невідкладно, але не пізніше 24 годин після подання заяви, повідомлення про вчинене кримінальне правопорушення або після самостійного </w:t>
      </w:r>
      <w:r w:rsidR="006E5D8D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виявлення ним з будь-якого джерела обставин, що можуть свідчити про вчинення кримінального правопорушення, зобов’язаний </w:t>
      </w:r>
      <w:proofErr w:type="spellStart"/>
      <w:r w:rsidR="006E5D8D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6E5D8D"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відповідні відомості до Єдиного реєстру досудових розслідувань, розпочати розслідування та через 24 години з моменту внесення таких відомостей надати заявнику витяг з Єдиного реєстру досудових розслідувань.</w:t>
      </w: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ході збирання доказів призначається судово-медична експертиза, яка визначає якість та правильність </w:t>
      </w:r>
      <w:r w:rsidR="009E5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діагностики та </w:t>
      </w:r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лікування, а також </w:t>
      </w:r>
      <w:proofErr w:type="spellStart"/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причиновий</w:t>
      </w:r>
      <w:proofErr w:type="spellEnd"/>
      <w:r w:rsidRPr="00201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зв'язок між дефектами надання медичної допомоги та несприятливим наслідком. </w:t>
      </w:r>
    </w:p>
    <w:p w14:paraId="031765DC" w14:textId="75E58AF2" w:rsidR="0006363E" w:rsidRPr="00201608" w:rsidRDefault="00076632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iCs/>
          <w:sz w:val="28"/>
          <w:szCs w:val="28"/>
          <w:u w:color="FF0000"/>
          <w:lang w:val="uk-UA"/>
        </w:rPr>
      </w:pPr>
      <w:r w:rsidRPr="00201608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uk-UA"/>
        </w:rPr>
        <w:t>М</w:t>
      </w:r>
      <w:r w:rsidR="0006363E" w:rsidRPr="00201608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uk-UA"/>
        </w:rPr>
        <w:t>етою</w:t>
      </w:r>
      <w:r w:rsidR="0006363E" w:rsidRPr="00201608">
        <w:rPr>
          <w:rFonts w:ascii="Times New Roman" w:hAnsi="Times New Roman" w:cs="Times New Roman"/>
          <w:iCs/>
          <w:color w:val="000000"/>
          <w:spacing w:val="-10"/>
          <w:sz w:val="28"/>
          <w:szCs w:val="28"/>
          <w:lang w:val="uk-UA"/>
        </w:rPr>
        <w:t xml:space="preserve"> було</w:t>
      </w:r>
      <w:r w:rsidR="0006363E" w:rsidRPr="00201608">
        <w:rPr>
          <w:rFonts w:ascii="Times New Roman" w:eastAsia="Arial Unicode MS" w:hAnsi="Times New Roman" w:cs="Times New Roman"/>
          <w:iCs/>
          <w:color w:val="000000"/>
          <w:sz w:val="28"/>
          <w:szCs w:val="28"/>
          <w:u w:color="000000"/>
          <w:lang w:val="uk-UA"/>
        </w:rPr>
        <w:t xml:space="preserve"> дослідження </w:t>
      </w:r>
      <w:r w:rsidR="0006363E" w:rsidRPr="00201608">
        <w:rPr>
          <w:rFonts w:ascii="Times New Roman" w:hAnsi="Times New Roman" w:cs="Times New Roman"/>
          <w:iCs/>
          <w:sz w:val="28"/>
          <w:szCs w:val="28"/>
          <w:lang w:val="uk-UA"/>
        </w:rPr>
        <w:t>дефектів</w:t>
      </w:r>
      <w:r w:rsidR="0006363E" w:rsidRPr="00201608">
        <w:rPr>
          <w:rFonts w:ascii="Times New Roman" w:eastAsia="Arial Unicode MS" w:hAnsi="Times New Roman" w:cs="Times New Roman"/>
          <w:iCs/>
          <w:color w:val="000000"/>
          <w:sz w:val="28"/>
          <w:szCs w:val="28"/>
          <w:u w:color="000000"/>
          <w:lang w:val="uk-UA"/>
        </w:rPr>
        <w:t xml:space="preserve"> надання стоматологічної медичної допомоги </w:t>
      </w:r>
      <w:r w:rsidR="0006363E" w:rsidRPr="00201608">
        <w:rPr>
          <w:rFonts w:ascii="Times New Roman" w:eastAsia="Arial Unicode MS" w:hAnsi="Times New Roman" w:cs="Times New Roman"/>
          <w:iCs/>
          <w:sz w:val="28"/>
          <w:szCs w:val="28"/>
          <w:u w:color="FF0000"/>
          <w:lang w:val="uk-UA"/>
        </w:rPr>
        <w:t>за даними судово-медичних експертиз, виконаних за справами стосовно дефектів надання медичної допомоги</w:t>
      </w:r>
      <w:r w:rsidRPr="00201608">
        <w:rPr>
          <w:rFonts w:ascii="Times New Roman" w:eastAsia="Arial Unicode MS" w:hAnsi="Times New Roman" w:cs="Times New Roman"/>
          <w:iCs/>
          <w:sz w:val="28"/>
          <w:szCs w:val="28"/>
          <w:u w:color="FF0000"/>
          <w:lang w:val="uk-UA"/>
        </w:rPr>
        <w:t xml:space="preserve"> у</w:t>
      </w:r>
      <w:r w:rsidRPr="0020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1608">
        <w:rPr>
          <w:rFonts w:ascii="Times New Roman" w:eastAsia="Arial Unicode MS" w:hAnsi="Times New Roman" w:cs="Times New Roman"/>
          <w:iCs/>
          <w:sz w:val="28"/>
          <w:szCs w:val="28"/>
          <w:u w:color="FF0000"/>
          <w:lang w:val="uk-UA"/>
        </w:rPr>
        <w:t xml:space="preserve">ДУ «Головного бюро судово-медичної експертизи МОЗ України» за 2012-2019 </w:t>
      </w:r>
      <w:proofErr w:type="spellStart"/>
      <w:r w:rsidRPr="00201608">
        <w:rPr>
          <w:rFonts w:ascii="Times New Roman" w:eastAsia="Arial Unicode MS" w:hAnsi="Times New Roman" w:cs="Times New Roman"/>
          <w:iCs/>
          <w:sz w:val="28"/>
          <w:szCs w:val="28"/>
          <w:u w:color="FF0000"/>
          <w:lang w:val="uk-UA"/>
        </w:rPr>
        <w:t>рр</w:t>
      </w:r>
      <w:proofErr w:type="spellEnd"/>
      <w:r w:rsidR="00DD4D43">
        <w:rPr>
          <w:rFonts w:ascii="Times New Roman" w:eastAsia="Arial Unicode MS" w:hAnsi="Times New Roman" w:cs="Times New Roman"/>
          <w:iCs/>
          <w:sz w:val="28"/>
          <w:szCs w:val="28"/>
          <w:u w:color="FF0000"/>
          <w:lang w:val="uk-UA"/>
        </w:rPr>
        <w:t>, та виявлення особливостей проведення судово-медичної оцінки медичної допомоги</w:t>
      </w:r>
      <w:r w:rsidR="0006363E" w:rsidRPr="00201608">
        <w:rPr>
          <w:rFonts w:ascii="Times New Roman" w:eastAsia="Arial Unicode MS" w:hAnsi="Times New Roman" w:cs="Times New Roman"/>
          <w:iCs/>
          <w:sz w:val="28"/>
          <w:szCs w:val="28"/>
          <w:u w:color="FF0000"/>
          <w:lang w:val="uk-UA"/>
        </w:rPr>
        <w:t xml:space="preserve">. </w:t>
      </w:r>
    </w:p>
    <w:p w14:paraId="195CE383" w14:textId="30A64A3C" w:rsidR="0006363E" w:rsidRPr="00DD4D43" w:rsidRDefault="0006363E" w:rsidP="002016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608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u w:color="000000"/>
          <w:lang w:val="uk-UA"/>
        </w:rPr>
        <w:t>Матеріалом</w:t>
      </w:r>
      <w:r w:rsidRPr="00201608">
        <w:rPr>
          <w:rFonts w:ascii="Times New Roman" w:eastAsia="Arial Unicode MS" w:hAnsi="Times New Roman" w:cs="Times New Roman"/>
          <w:iCs/>
          <w:color w:val="000000"/>
          <w:sz w:val="28"/>
          <w:szCs w:val="28"/>
          <w:u w:color="000000"/>
          <w:lang w:val="uk-UA"/>
        </w:rPr>
        <w:t xml:space="preserve"> досліджень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бул</w:t>
      </w:r>
      <w:r w:rsidR="00076632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и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</w:t>
      </w:r>
      <w:r w:rsidR="00076632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798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</w:t>
      </w:r>
      <w:r w:rsidR="00236245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комісійних 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судово-медичних експертиз, виконаних у судово-медичному відділі ДУ «Головного бюро судово-медичної експертизи МОЗ України» за 2012-201</w:t>
      </w:r>
      <w:r w:rsidR="00236245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9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</w:t>
      </w:r>
      <w:proofErr w:type="spellStart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рр</w:t>
      </w:r>
      <w:proofErr w:type="spellEnd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за справами стосовно дефектів надання медичної допомоги, у тому числі стоматологічного профілю.  Дані підлягали статистичній обробці</w:t>
      </w:r>
      <w:r w:rsidR="00236245" w:rsidRPr="0020160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DD4D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стандартними методиками описової статистики.  </w:t>
      </w:r>
    </w:p>
    <w:p w14:paraId="1B90E3E5" w14:textId="77777777" w:rsidR="0006363E" w:rsidRPr="00DD4D43" w:rsidRDefault="0006363E" w:rsidP="00201608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  <w:lang w:val="uk-UA" w:eastAsia="ru-RU"/>
        </w:rPr>
      </w:pPr>
      <w:r w:rsidRPr="00DD4D43">
        <w:rPr>
          <w:rFonts w:ascii="Times New Roman" w:eastAsia="Arial Unicode MS" w:hAnsi="Times New Roman" w:cs="Times New Roman"/>
          <w:b/>
          <w:sz w:val="28"/>
          <w:szCs w:val="28"/>
          <w:u w:color="000000"/>
          <w:lang w:val="uk-UA" w:eastAsia="ru-RU"/>
        </w:rPr>
        <w:t xml:space="preserve">Результати дослідження та їх обговорення. </w:t>
      </w:r>
    </w:p>
    <w:p w14:paraId="5AE89824" w14:textId="122AC733" w:rsidR="0006363E" w:rsidRPr="00201608" w:rsidRDefault="0006363E" w:rsidP="00201608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При статистичному аналізі експертиз, проведених у судово-медичному відділі</w:t>
      </w:r>
      <w:r w:rsidR="00236245" w:rsidRPr="0020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245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ДУ «Головного бюро судово-медичної експертизи МОЗ України»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, було виявлено, що серед усіх експертиз загальна кількість експертиз за стоматологічним напрямом </w:t>
      </w:r>
      <w:r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склала </w:t>
      </w:r>
      <w:r w:rsidR="00236245"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4,26</w:t>
      </w:r>
      <w:r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% по відношенню до всіх випадків</w:t>
      </w:r>
      <w:r w:rsidR="000C0A07"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за 8 поточних років</w:t>
      </w:r>
      <w:r w:rsidR="00236245"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</w:t>
      </w:r>
      <w:r w:rsidR="00236245"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>[</w:t>
      </w:r>
      <w:r w:rsidR="00236245"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рис.1</w:t>
      </w:r>
      <w:r w:rsidR="00236245"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ru-RU"/>
        </w:rPr>
        <w:t>]</w:t>
      </w:r>
      <w:r w:rsidRPr="0043461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. Причому вбачається тенденція до збільшення кількості таких експертиз у динаміці по роках (з 3,3 % у 2012 р до 4,7 % у 2019р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). </w:t>
      </w:r>
    </w:p>
    <w:p w14:paraId="29F82339" w14:textId="77777777" w:rsidR="0006363E" w:rsidRPr="00201608" w:rsidRDefault="0006363E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</w:p>
    <w:p w14:paraId="5CFFEE5B" w14:textId="60383D9D" w:rsidR="0006363E" w:rsidRPr="00201608" w:rsidRDefault="000C0A07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noProof/>
          <w:color w:val="000000"/>
          <w:sz w:val="28"/>
          <w:szCs w:val="28"/>
          <w:u w:color="000000"/>
          <w:lang w:val="ru-UA"/>
        </w:rPr>
        <w:lastRenderedPageBreak/>
        <w:drawing>
          <wp:inline distT="0" distB="0" distL="0" distR="0" wp14:anchorId="344D8064" wp14:editId="00CE74B0">
            <wp:extent cx="5629275" cy="2823667"/>
            <wp:effectExtent l="0" t="0" r="9525" b="1524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A0975C" w14:textId="0CDD144C" w:rsidR="000C0A07" w:rsidRPr="00201608" w:rsidRDefault="000C0A07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uk-UA"/>
        </w:rPr>
        <w:t xml:space="preserve">Рис. 1. Розподіл повторних експертиз, проведених у «ГБ судово-медичної експертизи МОЗ України» протягом 2012- 2019 </w:t>
      </w:r>
      <w:proofErr w:type="spellStart"/>
      <w:r w:rsidRPr="0020160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uk-UA"/>
        </w:rPr>
        <w:t>рр</w:t>
      </w:r>
      <w:proofErr w:type="spellEnd"/>
      <w:r w:rsidRPr="0020160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uk-UA"/>
        </w:rPr>
        <w:t>, за лікарськими справами щодо лікарів різних спеціальностей (за даними власних досліджень).</w:t>
      </w:r>
    </w:p>
    <w:p w14:paraId="18605492" w14:textId="77777777" w:rsidR="000C0A07" w:rsidRPr="00201608" w:rsidRDefault="000C0A07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</w:p>
    <w:p w14:paraId="0F32845C" w14:textId="6CF0A585" w:rsidR="0006363E" w:rsidRPr="00D844AD" w:rsidRDefault="0006363E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І хоча питома вага експертиз щодо надання медичної допомоги стоматологічного профілю вкрай невелика, втім у більшості випадків</w:t>
      </w:r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27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(</w:t>
      </w:r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79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,</w:t>
      </w:r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4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%) експертами було встановлено наявність дефектів, 78,3 % з яких знаходилася у прямому причинному зв’язку з несприятливим наслідком. Переважну більшість експертиз склали випадки тяжких тілесних ушкоджень (57,7%) та тілесних ушкоджень середнього ступеню тяжкості (32,3%)</w:t>
      </w:r>
      <w:r w:rsidR="00D844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, що є вкрай важливим для складу злочину за статтями 139 та 140 Кримінального Кодексу України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. </w:t>
      </w:r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Тяжкі тілесні ушкодження були розцінені, здебіль</w:t>
      </w:r>
      <w:r w:rsidR="00423E6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ш</w:t>
      </w:r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ого, за загрозою для життя. 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Летальних випадків при неналежному наданні стоматологічної допомоги було одиниці. </w:t>
      </w:r>
      <w:r w:rsidR="00D844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Пов</w:t>
      </w:r>
      <w:r w:rsidR="00D844AD" w:rsidRPr="00D844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’</w:t>
      </w:r>
      <w:r w:rsidR="00D844A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язані вони були із анафілактичними реакціями на знеболюючі препарати. </w:t>
      </w:r>
    </w:p>
    <w:p w14:paraId="200C6F07" w14:textId="2E748DAE" w:rsidR="0006363E" w:rsidRPr="00201608" w:rsidRDefault="0006363E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При оцінці найбільш частих дефектів у наданні стоматологічної допомоги було виявлено наступні: дефекти протезування склали 50% всіх випадків, ускладнення після стоматологічного лікування, пов’язані з гіпердіагностикою (видалення чи лікування здорових зубів) склали 30%, гнійні ускладнення лікування 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lastRenderedPageBreak/>
        <w:t xml:space="preserve">(як місцевого характеру, так і </w:t>
      </w:r>
      <w:proofErr w:type="spellStart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генералізованого</w:t>
      </w:r>
      <w:proofErr w:type="spellEnd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) – 10,4 %, попадання матеріалів пломбування</w:t>
      </w:r>
      <w:r w:rsidR="008C6ECE"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83050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і при 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недостатньо ретельн</w:t>
      </w:r>
      <w:r w:rsidR="002830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ому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препаруванн</w:t>
      </w:r>
      <w:r w:rsidR="002830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і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каріозних порожнин зуба або пломбуванн</w:t>
      </w:r>
      <w:r w:rsidR="002830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і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корене</w:t>
      </w:r>
      <w:r w:rsidR="00E0793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в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их каналів)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, часток зубів та </w:t>
      </w:r>
      <w:proofErr w:type="spellStart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імплантів</w:t>
      </w:r>
      <w:proofErr w:type="spellEnd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у гайморові пазухи – 9,6 %. </w:t>
      </w:r>
    </w:p>
    <w:p w14:paraId="4ED4B5FF" w14:textId="25B8FF00" w:rsidR="00BF4B6B" w:rsidRPr="00201608" w:rsidRDefault="00236245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У всіх </w:t>
      </w:r>
      <w:r w:rsidR="00BF4B6B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27 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випадках з наявністю дефектів надання медичної допомоги </w:t>
      </w:r>
      <w:r w:rsidR="00BF4B6B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також було невірно призначене лікування.</w:t>
      </w:r>
      <w:r w:rsidR="00BF4B6B"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B6B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Стоматолог повинен детально обговорювати з пацієнтом стратегію лікування, інформувати його про існування альтернативних методів, чітко попереджати про можливі наслідки тих чи інших маніпуляцій. 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До невірно призначеного лікування, як правило, відносилися: невірно обраний антибіотик чи взагалі його </w:t>
      </w:r>
      <w:proofErr w:type="spellStart"/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непризначення</w:t>
      </w:r>
      <w:proofErr w:type="spellEnd"/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, неврахування супутньої патології, що призвело до ускладнень гнійного характеру.</w:t>
      </w:r>
    </w:p>
    <w:p w14:paraId="0EA6D5BA" w14:textId="1BEDD77F" w:rsidR="00BF4B6B" w:rsidRPr="00201608" w:rsidRDefault="00BF4B6B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До не менш поширени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х дефектів відносилися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невірно 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встановлений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діагноз, неправильний вибір медикаментів для анестезії, спроба зберегти зуб, 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що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підляга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в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видаленню, </w:t>
      </w:r>
      <w:proofErr w:type="spellStart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переліковування</w:t>
      </w:r>
      <w:proofErr w:type="spellEnd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зубів, що вимагає зняття коронок і т. </w:t>
      </w:r>
      <w:r w:rsidR="008C6ECE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д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.</w:t>
      </w:r>
    </w:p>
    <w:p w14:paraId="0E70F423" w14:textId="05E59183" w:rsidR="009E3D17" w:rsidRPr="00201608" w:rsidRDefault="009E3D17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З випадків настання анафілактичних реакцій після введення анестезії, експертними комісіями було </w:t>
      </w:r>
      <w:proofErr w:type="spellStart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розцінено</w:t>
      </w:r>
      <w:proofErr w:type="spellEnd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 у якості дефектів надання медичної допомоги тільки 2 випадки, коли пацієнт був залишений без відповідного нагляду після введення препарату. При цьому проба </w:t>
      </w:r>
      <w:r w:rsidR="0028305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хоча і </w:t>
      </w: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проводилася, але вона не гарантує відсутність анафілаксії.</w:t>
      </w:r>
    </w:p>
    <w:p w14:paraId="078CA6D1" w14:textId="77777777" w:rsidR="00F2769A" w:rsidRDefault="0006363E" w:rsidP="00DD4D43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Слід окремо зазначити, що при проведенні судово-медичних експертиз щодо надання стоматологічн</w:t>
      </w:r>
      <w:bookmarkStart w:id="1" w:name="_GoBack"/>
      <w:bookmarkEnd w:id="1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ої медичної допомоги експерти доволі часто стикаються з нестачею необхідної медичної документації, особливо у випадках, коли стоматологічне лікування відбувалося у приватних </w:t>
      </w:r>
      <w:proofErr w:type="spellStart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клініках</w:t>
      </w:r>
      <w:proofErr w:type="spellEnd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. Зазвичай після такого лікування потерпілі потрапляли до державних лікувальних закладів вже з ускладненнями, що було зафіксовано у медичних картках, у той час, як первинне лікування було відображене тільки у виписках, довідках та ін. з приватних стоматологічних </w:t>
      </w:r>
      <w:proofErr w:type="spellStart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клінік</w:t>
      </w:r>
      <w:proofErr w:type="spellEnd"/>
      <w:r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. </w:t>
      </w:r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Інформація про </w:t>
      </w:r>
      <w:proofErr w:type="spellStart"/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діагностично</w:t>
      </w:r>
      <w:proofErr w:type="spellEnd"/>
      <w:r w:rsidR="009E3D17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-лікувальні заходи знаходилася в електронній базі клініки або взагалі була відсутньою. </w:t>
      </w:r>
      <w:r w:rsidR="00F2769A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Саме через це </w:t>
      </w:r>
      <w:r w:rsidR="00F2769A" w:rsidRPr="0020160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lastRenderedPageBreak/>
        <w:t>комісії судово-медичних експертів в таких випадках навіть за наявності дефектів надання медичної допомоги були позбавлені можливості встановити причинний зв'язок їх з несприятливим наслідком.</w:t>
      </w:r>
    </w:p>
    <w:p w14:paraId="005B765D" w14:textId="332758F6" w:rsidR="009E3D17" w:rsidRPr="00201608" w:rsidRDefault="00F2769A" w:rsidP="00DD4D43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 xml:space="preserve">Крім того, невирішеним питанням є і вилучення електронних документів представниками правоохоронних органів, а також особливості оцінки таких доказів, враховуючи можливість їх зміни медичним персоналом в онлайн-режимі. </w:t>
      </w:r>
    </w:p>
    <w:p w14:paraId="09FA2821" w14:textId="47252182" w:rsidR="0006363E" w:rsidRPr="00201608" w:rsidRDefault="00DD4D43" w:rsidP="00201608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uk-UA"/>
        </w:rPr>
      </w:pPr>
      <w:r w:rsidRPr="0020160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uk-UA"/>
        </w:rPr>
        <w:t>Висновки</w:t>
      </w:r>
      <w:r w:rsidR="008C6ECE" w:rsidRPr="0020160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uk-UA"/>
        </w:rPr>
        <w:t xml:space="preserve"> </w:t>
      </w:r>
    </w:p>
    <w:p w14:paraId="29D542C1" w14:textId="77777777" w:rsidR="009E3D17" w:rsidRPr="00DD4D43" w:rsidRDefault="008C6ECE" w:rsidP="00DD4D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D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При статистичному аналізі експертиз, проведених у судово-медичному відділі ДУ «Головного бюро судово-медичної експертизи МОЗ України», було виявлено, що серед усіх експертиз загальна кількість експертиз за стоматологічним напрямом склала 4,26 % по відношенню до всіх випадків за 8 поточних років з тенденцією до збільшення з 201</w:t>
      </w:r>
      <w:r w:rsidR="009E3D17" w:rsidRPr="00DD4D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2 р до 2019 р.</w:t>
      </w:r>
    </w:p>
    <w:p w14:paraId="75F0A1F5" w14:textId="39E86469" w:rsidR="008C6ECE" w:rsidRPr="00DD4D43" w:rsidRDefault="009E3D17" w:rsidP="00DD4D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D4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uk-UA"/>
        </w:rPr>
        <w:t>При оцінці найбільш частих дефектів у наданні стоматологічної допомоги було виявлено наступні: дефекти протезування - 50%, ускладнення після стоматологічного лікування, пов’язані з гіпердіагностикою - 30%, гнійні ускладнення - 10,4 %, попадання матеріалів пломбування - 9,6 %.</w:t>
      </w:r>
    </w:p>
    <w:p w14:paraId="4E206CCE" w14:textId="3BD77B81" w:rsidR="008C6ECE" w:rsidRPr="00DD4D43" w:rsidRDefault="00201608" w:rsidP="00DD4D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D4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правоохоронних органів зазнають труднощів при вилученні електронної медичної документації </w:t>
      </w:r>
      <w:bookmarkStart w:id="2" w:name="_Hlk28444450"/>
      <w:r w:rsidRPr="00DD4D43">
        <w:rPr>
          <w:rFonts w:ascii="Times New Roman" w:hAnsi="Times New Roman" w:cs="Times New Roman"/>
          <w:sz w:val="28"/>
          <w:szCs w:val="28"/>
          <w:lang w:val="uk-UA"/>
        </w:rPr>
        <w:t>що ускладнює оцінку якості надання медичної допомоги при проведенні судово-медичної експертизи.</w:t>
      </w:r>
      <w:bookmarkEnd w:id="2"/>
    </w:p>
    <w:p w14:paraId="51EE2981" w14:textId="77777777" w:rsidR="008C6ECE" w:rsidRPr="00201608" w:rsidRDefault="008C6ECE" w:rsidP="00201608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ACA832" w14:textId="198CA410" w:rsidR="0006363E" w:rsidRPr="00E07934" w:rsidRDefault="00E07934" w:rsidP="0020160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793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літератури</w:t>
      </w:r>
    </w:p>
    <w:p w14:paraId="31BD4B06" w14:textId="12F9E66C" w:rsidR="0006363E" w:rsidRPr="00201608" w:rsidRDefault="0006363E" w:rsidP="00201608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1608">
        <w:rPr>
          <w:rFonts w:ascii="Times New Roman" w:hAnsi="Times New Roman" w:cs="Times New Roman"/>
          <w:sz w:val="28"/>
          <w:szCs w:val="28"/>
          <w:lang w:val="uk-UA"/>
        </w:rPr>
        <w:t>«Лікарська помилка: причини та наслідки»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[Електронний ресурс] // Медико-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правовой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портал "103-law.org.ua". – 2012.- Режим доступу до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журн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.: </w:t>
      </w:r>
      <w:r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http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://103-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law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.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org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ua</w:t>
      </w:r>
      <w:proofErr w:type="spellEnd"/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/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Article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.</w:t>
      </w:r>
      <w:proofErr w:type="spellStart"/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aspx</w:t>
      </w:r>
      <w:proofErr w:type="spellEnd"/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?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a</w:t>
      </w:r>
      <w:r w:rsidRPr="002016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=61</w:t>
      </w:r>
    </w:p>
    <w:p w14:paraId="45F3FC3F" w14:textId="50A5F697" w:rsidR="0006363E" w:rsidRPr="00201608" w:rsidRDefault="0006363E" w:rsidP="00201608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016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016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ru-RU"/>
        </w:rPr>
        <w:t xml:space="preserve"> нема статистики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lang w:val="ru-RU"/>
        </w:rPr>
        <w:t>помилок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ru-RU"/>
        </w:rPr>
        <w:t xml:space="preserve">, -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lang w:val="ru-RU"/>
        </w:rPr>
        <w:t>експерт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1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// </w:t>
      </w:r>
      <w:r w:rsidRPr="0020160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201608">
        <w:rPr>
          <w:rFonts w:ascii="Times New Roman" w:hAnsi="Times New Roman" w:cs="Times New Roman"/>
          <w:sz w:val="28"/>
          <w:szCs w:val="28"/>
          <w:lang w:val="uk-UA"/>
        </w:rPr>
        <w:t>налітичне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 інтернет-видання Львова «</w:t>
      </w:r>
      <w:proofErr w:type="spellStart"/>
      <w:r w:rsidRPr="00201608">
        <w:rPr>
          <w:rFonts w:ascii="Times New Roman" w:hAnsi="Times New Roman" w:cs="Times New Roman"/>
          <w:sz w:val="28"/>
          <w:szCs w:val="28"/>
        </w:rPr>
        <w:t>Zaxid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01608">
        <w:rPr>
          <w:rFonts w:ascii="Times New Roman" w:hAnsi="Times New Roman" w:cs="Times New Roman"/>
          <w:sz w:val="28"/>
          <w:szCs w:val="28"/>
        </w:rPr>
        <w:t>net</w:t>
      </w:r>
      <w:r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». – 2012.- Режим доступу до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lang w:val="uk-UA"/>
        </w:rPr>
        <w:t>журн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201608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http://zaxid.net/news/showNews.do?v_ukrayini_nema_statistiki_likarskih_pomilok__ekspert&amp;objectId=1266352 – Назва з екрану.</w:t>
      </w:r>
    </w:p>
    <w:p w14:paraId="3C20D946" w14:textId="0DFD4467" w:rsidR="0006363E" w:rsidRPr="00201608" w:rsidRDefault="0006363E" w:rsidP="00201608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Стоматологическая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экспертиза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Режим доступу ресурсу:   </w:t>
      </w:r>
      <w:r w:rsidRPr="00201608">
        <w:rPr>
          <w:rFonts w:ascii="Times New Roman" w:hAnsi="Times New Roman" w:cs="Times New Roman"/>
          <w:sz w:val="28"/>
          <w:szCs w:val="28"/>
        </w:rPr>
        <w:t>http</w:t>
      </w:r>
      <w:r w:rsidRPr="0020160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01608">
        <w:rPr>
          <w:rFonts w:ascii="Times New Roman" w:hAnsi="Times New Roman" w:cs="Times New Roman"/>
          <w:sz w:val="28"/>
          <w:szCs w:val="28"/>
        </w:rPr>
        <w:t>www</w:t>
      </w:r>
      <w:r w:rsidRPr="0020160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01608">
        <w:rPr>
          <w:rFonts w:ascii="Times New Roman" w:hAnsi="Times New Roman" w:cs="Times New Roman"/>
          <w:sz w:val="28"/>
          <w:szCs w:val="28"/>
        </w:rPr>
        <w:t>pbse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0160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01608">
        <w:rPr>
          <w:rFonts w:ascii="Times New Roman" w:hAnsi="Times New Roman" w:cs="Times New Roman"/>
          <w:sz w:val="28"/>
          <w:szCs w:val="28"/>
        </w:rPr>
        <w:t>stomatolog</w:t>
      </w:r>
      <w:proofErr w:type="spellEnd"/>
      <w:r w:rsidRPr="002016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01608">
        <w:rPr>
          <w:rFonts w:ascii="Times New Roman" w:hAnsi="Times New Roman" w:cs="Times New Roman"/>
          <w:sz w:val="28"/>
          <w:szCs w:val="28"/>
        </w:rPr>
        <w:t>html</w:t>
      </w:r>
      <w:r w:rsidRPr="00201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1608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Назва з екрану.</w:t>
      </w:r>
    </w:p>
    <w:p w14:paraId="533C2AD8" w14:textId="1DB6FA7A" w:rsidR="0006363E" w:rsidRPr="00201608" w:rsidRDefault="0006363E" w:rsidP="00201608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«Лікарська помилка і як з нею боротися» [Електронний ресурс] // Агенція регіональної інформації та аналітики «galinfo.com.ua». – 2013.- Режим доступу до ресурсу.:    http://galinfo.com.ua/articles/likarska_pomylka_i_yak_z_neyu_borotysya_125439.html</w:t>
      </w:r>
      <w:r w:rsidR="00201608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Назва з екрану.</w:t>
      </w:r>
    </w:p>
    <w:p w14:paraId="435BB785" w14:textId="120F72A1" w:rsidR="006E5D8D" w:rsidRPr="00201608" w:rsidRDefault="006E5D8D" w:rsidP="00201608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Єдиний звіт Генеральної прокуратури про кримінальні правопорушення по державі [Електронний ресурс] </w:t>
      </w:r>
      <w:r w:rsidR="00ED5D66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Режим доступу: http://www.gp.gov.ua/ua/stat.html  </w:t>
      </w:r>
      <w:bookmarkStart w:id="3" w:name="_Hlk28444812"/>
      <w:r w:rsidR="00ED5D66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bookmarkStart w:id="4" w:name="_Hlk28444802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Назва з екрану.</w:t>
      </w:r>
      <w:bookmarkEnd w:id="3"/>
      <w:bookmarkEnd w:id="4"/>
    </w:p>
    <w:p w14:paraId="1E27ECC8" w14:textId="061B463D" w:rsidR="00076632" w:rsidRPr="00201608" w:rsidRDefault="00076632" w:rsidP="00201608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Кошмар в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кабинете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стоматолога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[Електронний ресурс]</w:t>
      </w:r>
      <w:r w:rsidR="00E85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Факты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комментарии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–2019. Режим доступу: </w:t>
      </w:r>
      <w:hyperlink r:id="rId6" w:history="1">
        <w:r w:rsidRPr="002016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https://fakty.ua/306300-koshmar-v-kabinete-stomatologa-iz-za-oshibki-vracha-muzhchine-amputirovali-ruki-i-nogi-i-udalili-chast-rta-foto</w:t>
        </w:r>
      </w:hyperlink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 Назва з екрану.</w:t>
      </w:r>
    </w:p>
    <w:p w14:paraId="25F8CC9F" w14:textId="56672349" w:rsidR="00076632" w:rsidRPr="00201608" w:rsidRDefault="00076632" w:rsidP="00201608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Врачебные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ошибки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стоматологии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[Електронний ресурс]</w:t>
      </w:r>
      <w:r w:rsidR="00E85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 </w:t>
      </w:r>
      <w:proofErr w:type="spellStart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Стоматоло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гический</w:t>
      </w:r>
      <w:proofErr w:type="spellEnd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портал. – 2019. 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Режим доступу: </w:t>
      </w:r>
      <w:hyperlink r:id="rId7" w:history="1">
        <w:r w:rsidRPr="002016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https://stomport.ru/stati/vrachebnye-oshibki-v-stomatologii</w:t>
        </w:r>
      </w:hyperlink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 Назва з екрану.</w:t>
      </w:r>
    </w:p>
    <w:p w14:paraId="5791D85A" w14:textId="1421F15F" w:rsidR="006E5D8D" w:rsidRPr="00201608" w:rsidRDefault="006E5D8D" w:rsidP="00201608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Кримінальний процесуальний кодекс України [Електронний ресурс]</w:t>
      </w:r>
      <w:r w:rsidR="00E85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 Відомості Верховної Ради України (ВВР) – К., 2016, –  № 46. –</w:t>
      </w:r>
      <w:r w:rsid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с.2046</w:t>
      </w:r>
      <w:r w:rsid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1608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Режим доступу: </w:t>
      </w:r>
      <w:hyperlink r:id="rId8" w:history="1">
        <w:r w:rsidR="00ED5D66" w:rsidRPr="002016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http://zakon2.rada.gov.ua</w:t>
        </w:r>
      </w:hyperlink>
      <w:r w:rsidR="00ED5D66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5" w:name="_Hlk28441370"/>
      <w:r w:rsidR="00ED5D66"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5"/>
      <w:r w:rsidRPr="002016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Назва з екрану.</w:t>
      </w:r>
    </w:p>
    <w:p w14:paraId="4F30DA52" w14:textId="77777777" w:rsidR="00AD7495" w:rsidRPr="00201608" w:rsidRDefault="00AD7495" w:rsidP="002016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7495" w:rsidRPr="00201608" w:rsidSect="0020160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447B"/>
    <w:multiLevelType w:val="hybridMultilevel"/>
    <w:tmpl w:val="271002EE"/>
    <w:lvl w:ilvl="0" w:tplc="C7164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664890"/>
    <w:multiLevelType w:val="hybridMultilevel"/>
    <w:tmpl w:val="2CECC1F8"/>
    <w:lvl w:ilvl="0" w:tplc="7A1C07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07"/>
    <w:rsid w:val="0006363E"/>
    <w:rsid w:val="00076632"/>
    <w:rsid w:val="000C0A07"/>
    <w:rsid w:val="00201608"/>
    <w:rsid w:val="00236245"/>
    <w:rsid w:val="00283050"/>
    <w:rsid w:val="00341607"/>
    <w:rsid w:val="003A2743"/>
    <w:rsid w:val="00423E62"/>
    <w:rsid w:val="00430766"/>
    <w:rsid w:val="0043461D"/>
    <w:rsid w:val="004654F2"/>
    <w:rsid w:val="006C522D"/>
    <w:rsid w:val="006E5D8D"/>
    <w:rsid w:val="007750C4"/>
    <w:rsid w:val="007F7B3A"/>
    <w:rsid w:val="008C6ECE"/>
    <w:rsid w:val="00921BDC"/>
    <w:rsid w:val="009E1078"/>
    <w:rsid w:val="009E3D17"/>
    <w:rsid w:val="009E54CB"/>
    <w:rsid w:val="00AD7495"/>
    <w:rsid w:val="00B139E6"/>
    <w:rsid w:val="00BF4B6B"/>
    <w:rsid w:val="00C80F98"/>
    <w:rsid w:val="00C9587A"/>
    <w:rsid w:val="00CA77B7"/>
    <w:rsid w:val="00D275A7"/>
    <w:rsid w:val="00D844AD"/>
    <w:rsid w:val="00DD4D43"/>
    <w:rsid w:val="00E07934"/>
    <w:rsid w:val="00E85597"/>
    <w:rsid w:val="00E92EC7"/>
    <w:rsid w:val="00EB4BC2"/>
    <w:rsid w:val="00ED5D66"/>
    <w:rsid w:val="00F2769A"/>
    <w:rsid w:val="00F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DC73"/>
  <w15:chartTrackingRefBased/>
  <w15:docId w15:val="{97B9C083-BF88-4A70-BCD7-0EE6AD15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363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C0A0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E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mport.ru/stati/vrachebnye-oshibki-v-stomat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kty.ua/306300-koshmar-v-kabinete-stomatologa-iz-za-oshibki-vracha-muzhchine-amputirovali-ruki-i-nogi-i-udalili-chast-rta-foto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CEE-4CE0-8F84-79ADA3E6B85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CEE-4CE0-8F84-79ADA3E6B85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CEE-4CE0-8F84-79ADA3E6B85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CEE-4CE0-8F84-79ADA3E6B85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CEE-4CE0-8F84-79ADA3E6B858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FCEE-4CE0-8F84-79ADA3E6B858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FCEE-4CE0-8F84-79ADA3E6B858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FCEE-4CE0-8F84-79ADA3E6B858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FCEE-4CE0-8F84-79ADA3E6B858}"/>
              </c:ext>
            </c:extLst>
          </c:dPt>
          <c:dLbls>
            <c:dLbl>
              <c:idx val="0"/>
              <c:layout>
                <c:manualLayout>
                  <c:x val="7.1476344644736581E-2"/>
                  <c:y val="3.4076813272834815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 err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Акушери</a:t>
                    </a: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- </a:t>
                    </a:r>
                    <a:r>
                      <a:rPr lang="ru-RU" sz="1200" dirty="0" err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гінекологи</a:t>
                    </a: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21,36%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EE-4CE0-8F84-79ADA3E6B858}"/>
                </c:ext>
              </c:extLst>
            </c:dLbl>
            <c:dLbl>
              <c:idx val="1"/>
              <c:layout>
                <c:manualLayout>
                  <c:x val="0.10444613205075254"/>
                  <c:y val="-1.7287059765302617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 err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Хірурги</a:t>
                    </a: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22,90%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EE-4CE0-8F84-79ADA3E6B858}"/>
                </c:ext>
              </c:extLst>
            </c:dLbl>
            <c:dLbl>
              <c:idx val="2"/>
              <c:layout>
                <c:manualLayout>
                  <c:x val="-0.17877204435739949"/>
                  <c:y val="-3.919297537200727E-3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 err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Анестезіологи</a:t>
                    </a: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14,06%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EE-4CE0-8F84-79ADA3E6B858}"/>
                </c:ext>
              </c:extLst>
            </c:dLbl>
            <c:dLbl>
              <c:idx val="3"/>
              <c:layout>
                <c:manualLayout>
                  <c:x val="-0.16487576108823959"/>
                  <c:y val="4.0918670591277302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 err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Нейрохірурги</a:t>
                    </a: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10,11%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EE-4CE0-8F84-79ADA3E6B858}"/>
                </c:ext>
              </c:extLst>
            </c:dLbl>
            <c:dLbl>
              <c:idx val="4"/>
              <c:layout>
                <c:manualLayout>
                  <c:x val="-7.8153048127867275E-2"/>
                  <c:y val="0.1583891565793081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Травматологи; 8,21%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CEE-4CE0-8F84-79ADA3E6B858}"/>
                </c:ext>
              </c:extLst>
            </c:dLbl>
            <c:dLbl>
              <c:idx val="5"/>
              <c:layout>
                <c:manualLayout>
                  <c:x val="-4.2076288687264346E-2"/>
                  <c:y val="0.27474222604765497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 err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Терапевти</a:t>
                    </a: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8,21%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03093204719969"/>
                      <c:h val="0.137651821862348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CEE-4CE0-8F84-79ADA3E6B858}"/>
                </c:ext>
              </c:extLst>
            </c:dLbl>
            <c:dLbl>
              <c:idx val="6"/>
              <c:layout>
                <c:manualLayout>
                  <c:x val="-0.18994506397360228"/>
                  <c:y val="0.3140393382001338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 err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Педіатри</a:t>
                    </a: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5,21%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EE-4CE0-8F84-79ADA3E6B858}"/>
                </c:ext>
              </c:extLst>
            </c:dLbl>
            <c:dLbl>
              <c:idx val="7"/>
              <c:layout>
                <c:manualLayout>
                  <c:x val="-0.19097752374861771"/>
                  <c:y val="0.1971047141374534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Стоматологи; 4,26%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EE-4CE0-8F84-79ADA3E6B858}"/>
                </c:ext>
              </c:extLst>
            </c:dLbl>
            <c:dLbl>
              <c:idx val="8"/>
              <c:layout>
                <c:manualLayout>
                  <c:x val="-7.9024563553921248E-2"/>
                  <c:y val="1.9066948615228635E-3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5431735E-5BD7-4F31-95A7-D3C65F1FCEC8}" type="CATEGORYNAME">
                      <a:rPr lang="ru-RU"/>
                      <a:pPr>
                        <a:defRPr sz="12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; 5,68%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799210377890583"/>
                      <c:h val="0.136752136752136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FCEE-4CE0-8F84-79ADA3E6B85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294-4C9D-9A3E-14E9B06B393D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94-4C9D-9A3E-14E9B06B39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9"/>
                <c:pt idx="0">
                  <c:v>Акушерство та гінекологія</c:v>
                </c:pt>
                <c:pt idx="1">
                  <c:v>Хірургія</c:v>
                </c:pt>
                <c:pt idx="2">
                  <c:v>Анестезіологія</c:v>
                </c:pt>
                <c:pt idx="3">
                  <c:v>Нейрохірургія</c:v>
                </c:pt>
                <c:pt idx="4">
                  <c:v>Травматологія</c:v>
                </c:pt>
                <c:pt idx="5">
                  <c:v>Терапія</c:v>
                </c:pt>
                <c:pt idx="6">
                  <c:v>Педіатрія</c:v>
                </c:pt>
                <c:pt idx="7">
                  <c:v>Стоматологія</c:v>
                </c:pt>
                <c:pt idx="8">
                  <c:v>Інші спеціальності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0.21360000000000001</c:v>
                </c:pt>
                <c:pt idx="1">
                  <c:v>0.22900000000000001</c:v>
                </c:pt>
                <c:pt idx="2">
                  <c:v>0.1406</c:v>
                </c:pt>
                <c:pt idx="3">
                  <c:v>0.1011</c:v>
                </c:pt>
                <c:pt idx="4">
                  <c:v>8.2100000000000006E-2</c:v>
                </c:pt>
                <c:pt idx="5">
                  <c:v>8.2100000000000006E-2</c:v>
                </c:pt>
                <c:pt idx="6">
                  <c:v>5.21E-2</c:v>
                </c:pt>
                <c:pt idx="7">
                  <c:v>4.2599999999999999E-2</c:v>
                </c:pt>
                <c:pt idx="8">
                  <c:v>5.6800000000000003E-2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CEE-4CE0-8F84-79ADA3E6B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2">
          <a:noFill/>
        </a:ln>
      </c:spPr>
    </c:plotArea>
    <c:plotVisOnly val="1"/>
    <c:dispBlanksAs val="zero"/>
    <c:showDLblsOverMax val="0"/>
  </c:chart>
  <c:txPr>
    <a:bodyPr/>
    <a:lstStyle/>
    <a:p>
      <a:pPr>
        <a:defRPr sz="1795"/>
      </a:pPr>
      <a:endParaRPr lang="ru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Плетенецкий</dc:creator>
  <cp:keywords/>
  <dc:description/>
  <cp:lastModifiedBy>Александр Плетенецкий</cp:lastModifiedBy>
  <cp:revision>26</cp:revision>
  <dcterms:created xsi:type="dcterms:W3CDTF">2019-12-28T11:00:00Z</dcterms:created>
  <dcterms:modified xsi:type="dcterms:W3CDTF">2019-12-28T16:21:00Z</dcterms:modified>
</cp:coreProperties>
</file>